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shd w:fill="ffffff" w:val="clear"/>
        <w:spacing w:after="280" w:before="0" w:lineRule="auto"/>
        <w:jc w:val="center"/>
        <w:rPr>
          <w:sz w:val="28"/>
          <w:szCs w:val="28"/>
        </w:rPr>
      </w:pPr>
      <w:r w:rsidDel="00000000" w:rsidR="00000000" w:rsidRPr="00000000">
        <w:rPr>
          <w:sz w:val="28"/>
          <w:szCs w:val="28"/>
          <w:rtl w:val="0"/>
        </w:rPr>
        <w:t xml:space="preserve">AMENDAMENTE </w:t>
      </w:r>
    </w:p>
    <w:p w:rsidR="00000000" w:rsidDel="00000000" w:rsidP="00000000" w:rsidRDefault="00000000" w:rsidRPr="00000000" w14:paraId="00000002">
      <w:pPr>
        <w:pStyle w:val="Heading4"/>
        <w:shd w:fill="ffffff" w:val="clear"/>
        <w:spacing w:after="280" w:before="0" w:lineRule="auto"/>
        <w:jc w:val="center"/>
        <w:rPr>
          <w:sz w:val="28"/>
          <w:szCs w:val="28"/>
        </w:rPr>
      </w:pPr>
      <w:r w:rsidDel="00000000" w:rsidR="00000000" w:rsidRPr="00000000">
        <w:rPr>
          <w:sz w:val="28"/>
          <w:szCs w:val="28"/>
          <w:rtl w:val="0"/>
        </w:rPr>
        <w:t xml:space="preserve">la proiectul de lege pentru aprobarea Ordonanţei de urgenţă a Guvernului nr.29/2020 privind unele măsuri economice şi fiscal-bugetare – L143/2020</w:t>
      </w:r>
    </w:p>
    <w:tbl>
      <w:tblPr>
        <w:tblStyle w:val="Table1"/>
        <w:tblW w:w="146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3119"/>
        <w:gridCol w:w="6945"/>
        <w:gridCol w:w="3735"/>
        <w:tblGridChange w:id="0">
          <w:tblGrid>
            <w:gridCol w:w="817"/>
            <w:gridCol w:w="3119"/>
            <w:gridCol w:w="6945"/>
            <w:gridCol w:w="3735"/>
          </w:tblGrid>
        </w:tblGridChange>
      </w:tblGrid>
      <w:tr>
        <w:tc>
          <w:tcPr>
            <w:shd w:fill="d9d9d9" w:val="clear"/>
          </w:tcPr>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Nr. crt.</w:t>
            </w:r>
          </w:p>
        </w:tc>
        <w:tc>
          <w:tcPr>
            <w:shd w:fill="d9d9d9" w:val="clear"/>
          </w:tcPr>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Ordonanţa de urgenţă a Guvernului nr.29/2020</w:t>
            </w:r>
          </w:p>
        </w:tc>
        <w:tc>
          <w:tcPr>
            <w:shd w:fill="d9d9d9" w:val="clear"/>
          </w:tcPr>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AMENDAMENTE</w:t>
            </w:r>
          </w:p>
        </w:tc>
        <w:tc>
          <w:tcPr>
            <w:shd w:fill="d9d9d9" w:val="clear"/>
          </w:tcPr>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MOTIVAŢIE</w:t>
            </w:r>
          </w:p>
        </w:tc>
      </w:tr>
      <w:tr>
        <w:tc>
          <w:tcPr/>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DOUĂ ARTICOLE NOI</w:t>
            </w:r>
          </w:p>
        </w:tc>
        <w:tc>
          <w:tcPr/>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După art.V se introduc două articole noi, art. V</w:t>
            </w:r>
            <w:r w:rsidDel="00000000" w:rsidR="00000000" w:rsidRPr="00000000">
              <w:rPr>
                <w:rFonts w:ascii="Times New Roman" w:cs="Times New Roman" w:eastAsia="Times New Roman" w:hAnsi="Times New Roman"/>
                <w:b w:val="1"/>
                <w:sz w:val="24"/>
                <w:szCs w:val="24"/>
                <w:vertAlign w:val="superscript"/>
                <w:rtl w:val="0"/>
              </w:rPr>
              <w:t xml:space="preserve">1 </w:t>
            </w:r>
            <w:r w:rsidDel="00000000" w:rsidR="00000000" w:rsidRPr="00000000">
              <w:rPr>
                <w:rFonts w:ascii="Times New Roman" w:cs="Times New Roman" w:eastAsia="Times New Roman" w:hAnsi="Times New Roman"/>
                <w:b w:val="1"/>
                <w:sz w:val="24"/>
                <w:szCs w:val="24"/>
                <w:rtl w:val="0"/>
              </w:rPr>
              <w:t xml:space="preserve">și art. V</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cu următorul cuprins:</w:t>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V</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 La art. 64: Cotele de impozitare din Legea nr. 227/2015 privind Codul fiscal, publicată în Monitorul Oficial al României, Partea I, nr.688, din 10 septembrie 2015, cu modificările şi completările ulterioare, după alin.(1) se introduc două noi alineate, alin.(1</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şi alin.(1</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cu următorul cuprins:</w:t>
            </w:r>
          </w:p>
          <w:p w:rsidR="00000000" w:rsidDel="00000000" w:rsidP="00000000" w:rsidRDefault="00000000" w:rsidRPr="00000000" w14:paraId="0000001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Pentru veniturile din pensii de serviciu sau indemnizaţii pentru limită de vârstă se stabilesc trei cote de impozit, în funcţie de venitul lunar impozabil, după cum urmează:</w:t>
            </w:r>
          </w:p>
          <w:p w:rsidR="00000000" w:rsidDel="00000000" w:rsidP="00000000" w:rsidRDefault="00000000" w:rsidRPr="00000000" w14:paraId="0000001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Cota de impozit de 10% se aplică pentru veniturile din pensii de serviciu sau indemnizaţii pentru limită de vârstă cuprinse între 2.001 lei şi 4.000 de lei;</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Cota de impozit de 60% se aplică pentru veniturile din pensii de serviciu sau indemnizaţii pentru limită de vârstă cuprinse între 4.001 lei şi 7.000 de lei;</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Cota de impozit de 95% se aplică pentru veniturile din pensii de serviciu sau indemnizaţii pentru limită de vârstă de peste 7.001 de lei;</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Cotele de impozit stabilite la alin.(1</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se aplică exclusiv asupra următoarelor categorii de  pensii de serviciu sau indemnizaţii pentru limită de vârstă:</w:t>
            </w:r>
          </w:p>
          <w:p w:rsidR="00000000" w:rsidDel="00000000" w:rsidP="00000000" w:rsidRDefault="00000000" w:rsidRPr="00000000" w14:paraId="0000001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Indemnizaţiile pentru limită de vârstă prevăzute de </w:t>
            </w:r>
            <w:bookmarkStart w:colFirst="0" w:colLast="0" w:name="30j0zll" w:id="0"/>
            <w:bookmarkEnd w:id="0"/>
            <w:bookmarkStart w:colFirst="0" w:colLast="0" w:name="gjdgxs"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Legea nr.96/2006 privind statutul deputaţilor şi al senatorilor, republicată, cu modificările şi completările ulterioare;</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Pensiile de serviciu prevăzute de Legea nr.7/2006 privind statutul funcţionarului public parlamentar, republicată, cu modificările şi completările ulterioare;</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Pensiile de serviciu prevăzute Legea nr.303/2004 privind statutul judecătorilor şi procurorilor, republicată, cu modificările şi completările ulterioare;</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Pensiile de serviciu prevăzute de Legea nr.94/1992 privind organizarea şi funcţionarea Curţii de Conturi, republicată, cu modificările şi completările ulterioare;</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Pensiile de serviciu prevăzute de Legea nr.47/1992 privind organizarea şi funcţionarea Curţii Constituţionale, republicată, cu modificările şi completările ulterioare;</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Pensiile de serviciu prevăzute de Legea nr.567/2004 privind statutul personalului auxiliar de specialitate al instanţelor judecătoreşti şi al parchetelor de pe lângă acestea şi al personalului care funcţionează în cadrul Institutului Naţional de Expertize Criminalistice, cu modificările şi completările ulterioare;</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Pensiile de serviciu prevăzute de Legea nr.223/2015 privind Statutul personalului aeronautic civil navigant profesionist din aviaţia civilă din România, cu modificările şi completările ulterioare;</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Pensiile de serviciu prevăzute de Legea nr.216/2015 privind acordarea pensiei de serviciu membrilor Corpului diplomatic şi consular al României, cu modificările şi completările ulterioare;</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Pensiile de serviciu prevăzute de Legea nr.35/1997 privind organizarea şi funcţionarea instituţiei Avocatul Poporului, republicată;</w:t>
            </w:r>
          </w:p>
          <w:p w:rsidR="00000000" w:rsidDel="00000000" w:rsidP="00000000" w:rsidRDefault="00000000" w:rsidRPr="00000000" w14:paraId="0000002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 V</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 Prevederile art.V</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se aplică începând cu drepturile aferente lunii următoare intrării în vigoare a prezentei legi.</w:t>
            </w:r>
          </w:p>
          <w:p w:rsidR="00000000" w:rsidDel="00000000" w:rsidP="00000000" w:rsidRDefault="00000000" w:rsidRPr="00000000" w14:paraId="0000002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Autorii amendamentului</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Florin ROMAN</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Deputat PNL</w:t>
            </w:r>
          </w:p>
          <w:p w:rsidR="00000000" w:rsidDel="00000000" w:rsidP="00000000" w:rsidRDefault="00000000" w:rsidRPr="00000000" w14:paraId="0000002D">
            <w:pPr>
              <w:pStyle w:val="Heading2"/>
              <w:shd w:fill="ffffff" w:val="clear"/>
              <w:spacing w:before="0" w:lineRule="auto"/>
              <w:rPr>
                <w:rFonts w:ascii="Roboto Condensed" w:cs="Roboto Condensed" w:eastAsia="Roboto Condensed" w:hAnsi="Roboto Condensed"/>
                <w:b w:val="0"/>
                <w:color w:val="3f528d"/>
                <w:sz w:val="45"/>
                <w:szCs w:val="45"/>
              </w:rPr>
            </w:pPr>
            <w:r w:rsidDel="00000000" w:rsidR="00000000" w:rsidRPr="00000000">
              <w:rPr>
                <w:rFonts w:ascii="Times New Roman" w:cs="Times New Roman" w:eastAsia="Times New Roman" w:hAnsi="Times New Roman"/>
                <w:color w:val="000000"/>
                <w:sz w:val="24"/>
                <w:szCs w:val="24"/>
                <w:rtl w:val="0"/>
              </w:rPr>
              <w:t xml:space="preserve">Cătălin-Daniel FENECHIU</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PNL</w:t>
            </w:r>
          </w:p>
        </w:tc>
        <w:tc>
          <w:tcPr/>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Potrivit datelor comunicate de Casa Naţională de Pensii Publice pentru luna februarie a anului 2020, beneficiarii pensiilor de serviciu ar trebui să încaseze pensii bazate pe contributivitate cu o valoare care nu depăşeşte 4.006 de lei lunar, însă unele categorii de beneficiari primesc din bugetul de stat, fără a fi respectat principiul contributivităţii, sume care depăşesc lunar 17.580 de lei. </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condiţiile în care Curtea Constituţională a României nu a soluţionat sesizarea de neconstituționalitate asupra proiectului legislativ adoptat de Parlament în data de 28 ianuarie 2020, privind eliminarea pensiilor şi indemnizaţiilor de serviciu,</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condiţiile în care în pensia medie lunară de asigurări sociale de stat, comunicată de Institutul Naţional de Statistică pentru finalul anului 2019, a fost de 1.372 de lei, </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Având în vedere situaţia bugetară şi economică pe care o traversează România în contextul pandemiei de Covid-19,</w:t>
            </w:r>
          </w:p>
          <w:p w:rsidR="00000000" w:rsidDel="00000000" w:rsidP="00000000" w:rsidRDefault="00000000" w:rsidRPr="00000000" w14:paraId="00000036">
            <w:pPr>
              <w:jc w:val="both"/>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Propunem ca începând cu luna următoare intrării în vigoare a prezentei legi, pensiile şi indemnizaţiile speciale obţinute în baza unor legi speciale enumerate la alin.(1</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să fie impozitate în funcţie de nivelul venitului lunar, după cum urmează: cu 10% pentru veniturile cuprinse între 2.001 şi 4.000 de lei; cu 60% pentru veniturile din pensii de serviciu sau indemnizaţii pentru limită de vârstă cuprinse între 4.001 lei şi 7.000 de lei; cu 95% pentru veniturile care depăşesc 7.001 lei.</w:t>
            </w:r>
          </w:p>
        </w:tc>
      </w:tr>
    </w:tbl>
    <w:p w:rsidR="00000000" w:rsidDel="00000000" w:rsidP="00000000" w:rsidRDefault="00000000" w:rsidRPr="00000000" w14:paraId="00000037">
      <w:pPr>
        <w:rPr/>
      </w:pPr>
      <w:r w:rsidDel="00000000" w:rsidR="00000000" w:rsidRPr="00000000">
        <w:rPr>
          <w:rtl w:val="0"/>
        </w:rPr>
      </w:r>
    </w:p>
    <w:sectPr>
      <w:pgSz w:h="12240" w:w="15840"/>
      <w:pgMar w:bottom="426"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Roboto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rFonts w:ascii="Times New Roman" w:cs="Times New Roman" w:eastAsia="Times New Roman" w:hAnsi="Times New Roman"/>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