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56" w:rsidRPr="00CD488E" w:rsidRDefault="00DC1F56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g-BG"/>
        </w:rPr>
      </w:pPr>
      <w:bookmarkStart w:id="0" w:name="_GoBack"/>
      <w:r w:rsidRPr="00CD488E">
        <w:rPr>
          <w:rFonts w:ascii="Times New Roman" w:hAnsi="Times New Roman" w:cs="Times New Roman"/>
          <w:b/>
          <w:sz w:val="36"/>
          <w:szCs w:val="36"/>
          <w:lang w:val="bg-BG"/>
        </w:rPr>
        <w:t>София и Скопие в капана на двойното говорене</w:t>
      </w:r>
    </w:p>
    <w:p w:rsidR="00151652" w:rsidRDefault="00151652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2F7B" w:rsidRPr="00CD488E" w:rsidRDefault="00DF2F7B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CD488E">
        <w:rPr>
          <w:rFonts w:ascii="Times New Roman" w:hAnsi="Times New Roman" w:cs="Times New Roman"/>
          <w:b/>
          <w:sz w:val="32"/>
          <w:szCs w:val="32"/>
          <w:lang w:val="bg-BG"/>
        </w:rPr>
        <w:t>Стефан Дечев</w:t>
      </w:r>
    </w:p>
    <w:p w:rsidR="00151652" w:rsidRDefault="00151652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2F7B" w:rsidRPr="00CD488E" w:rsidRDefault="00DF2F7B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D48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Свободна Европа, </w:t>
      </w:r>
      <w:r w:rsidR="00151652" w:rsidRPr="00CD48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26 ноември 2019 г. </w:t>
      </w:r>
    </w:p>
    <w:p w:rsidR="00DC1F56" w:rsidRDefault="00DC1F56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20 ноември, сряда, по време на конгрес на Европейската народна партия (ЕНП) в Загреб се проведе среща на българския премиер Бойко Борисов с лидера на опозиционната партия в Северна Македония – ВМРО-ДПМНЕ – Християн Мицкоски. На нея Мицкоски заяви, че за разлика от управляващите днес в Скопие бивши комунисти от СДСМ, които в миналото са се кланяли на Белград и Москва, неговата партия още с възстановяването си през 1991 г. имала била ясна визия за членство на страната им в Европейския съюз и НАТО.</w:t>
      </w:r>
    </w:p>
    <w:p w:rsidR="00F83458" w:rsidRDefault="00F83458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въпрос на Борисов: „</w:t>
      </w:r>
      <w:r w:rsidRPr="0069301D">
        <w:rPr>
          <w:rFonts w:ascii="Times New Roman" w:hAnsi="Times New Roman" w:cs="Times New Roman"/>
          <w:i/>
          <w:sz w:val="24"/>
          <w:szCs w:val="24"/>
          <w:lang w:val="bg-BG"/>
        </w:rPr>
        <w:t>Вие подкрепяте ли договора за добросъседството между България и вече Северна Македония?</w:t>
      </w:r>
      <w:r>
        <w:rPr>
          <w:rFonts w:ascii="Times New Roman" w:hAnsi="Times New Roman" w:cs="Times New Roman"/>
          <w:sz w:val="24"/>
          <w:szCs w:val="24"/>
          <w:lang w:val="bg-BG"/>
        </w:rPr>
        <w:t>“, лидерът на най-голямата опозиционна сила без видимо колебание заяви: „</w:t>
      </w:r>
      <w:r w:rsidRPr="0069301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Всичко, което може да бъде позитивно за двете страни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… </w:t>
      </w:r>
      <w:r w:rsidRPr="0069301D">
        <w:rPr>
          <w:rFonts w:ascii="Times New Roman" w:hAnsi="Times New Roman" w:cs="Times New Roman"/>
          <w:i/>
          <w:sz w:val="24"/>
          <w:szCs w:val="24"/>
          <w:lang w:val="bg-BG"/>
        </w:rPr>
        <w:t>и за Македония, и за България, ние подкрепяме. Тук също така не трябва да има никакви дилеми.</w:t>
      </w:r>
      <w:r>
        <w:rPr>
          <w:rFonts w:ascii="Times New Roman" w:hAnsi="Times New Roman" w:cs="Times New Roman"/>
          <w:sz w:val="24"/>
          <w:szCs w:val="24"/>
          <w:lang w:val="bg-BG"/>
        </w:rPr>
        <w:t>“ След този непряк отговор Борисов коментира: „</w:t>
      </w:r>
      <w:r w:rsidRPr="0069301D">
        <w:rPr>
          <w:rFonts w:ascii="Times New Roman" w:hAnsi="Times New Roman" w:cs="Times New Roman"/>
          <w:i/>
          <w:sz w:val="24"/>
          <w:szCs w:val="24"/>
          <w:lang w:val="bg-BG"/>
        </w:rPr>
        <w:t>Това е много важно, да го знаеме, да се чуе ясно.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F83458" w:rsidRDefault="00F83458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5954" w:rsidRPr="00925954" w:rsidRDefault="00925954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25954">
        <w:rPr>
          <w:rFonts w:ascii="Times New Roman" w:hAnsi="Times New Roman" w:cs="Times New Roman"/>
          <w:b/>
          <w:sz w:val="28"/>
          <w:szCs w:val="28"/>
          <w:lang w:val="bg-BG"/>
        </w:rPr>
        <w:t>Продължението на историята</w:t>
      </w:r>
    </w:p>
    <w:p w:rsidR="00925954" w:rsidRDefault="0092595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следващия ден, 21 ноември, четвъртък, отново премиерът Борисов, пред агенция БГНЕС, продължи да коментира радостната новина, дошла от една „</w:t>
      </w:r>
      <w:r w:rsidRPr="00A02BDC">
        <w:rPr>
          <w:rFonts w:ascii="Times New Roman" w:hAnsi="Times New Roman" w:cs="Times New Roman"/>
          <w:i/>
          <w:sz w:val="24"/>
          <w:szCs w:val="24"/>
          <w:lang w:val="bg-BG"/>
        </w:rPr>
        <w:t>сестринска партия</w:t>
      </w:r>
      <w:r>
        <w:rPr>
          <w:rFonts w:ascii="Times New Roman" w:hAnsi="Times New Roman" w:cs="Times New Roman"/>
          <w:sz w:val="24"/>
          <w:szCs w:val="24"/>
          <w:lang w:val="bg-BG"/>
        </w:rPr>
        <w:t>“ и нейния ръководител.</w:t>
      </w:r>
    </w:p>
    <w:p w:rsidR="00925954" w:rsidRDefault="0092595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Премиерът изтъкна, как Мицкоски „</w:t>
      </w:r>
      <w:r w:rsidRPr="0069301D">
        <w:rPr>
          <w:rFonts w:ascii="Times New Roman" w:hAnsi="Times New Roman" w:cs="Times New Roman"/>
          <w:i/>
          <w:sz w:val="24"/>
          <w:szCs w:val="24"/>
          <w:lang w:val="bg-BG"/>
        </w:rPr>
        <w:t>днес е казал и вчера пред всички вас заяви</w:t>
      </w:r>
      <w:r>
        <w:rPr>
          <w:rFonts w:ascii="Times New Roman" w:hAnsi="Times New Roman" w:cs="Times New Roman"/>
          <w:sz w:val="24"/>
          <w:szCs w:val="24"/>
          <w:lang w:val="bg-BG"/>
        </w:rPr>
        <w:t>“, че приоритет за ВМРО са ЕС и НАТО.</w:t>
      </w:r>
    </w:p>
    <w:p w:rsidR="00925954" w:rsidRDefault="0092595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Борисов добави още: </w:t>
      </w:r>
      <w:r w:rsidRPr="000E3F3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Антибългарската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реторика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само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трябва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забранена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убедени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C4088B">
        <w:rPr>
          <w:rFonts w:ascii="Times New Roman" w:hAnsi="Times New Roman" w:cs="Times New Roman"/>
          <w:sz w:val="24"/>
          <w:szCs w:val="24"/>
          <w:lang w:val="bg-BG"/>
        </w:rPr>
        <w:t>(македонците и техните лидери – б</w:t>
      </w:r>
      <w:r>
        <w:rPr>
          <w:rFonts w:ascii="Times New Roman" w:hAnsi="Times New Roman" w:cs="Times New Roman"/>
          <w:sz w:val="24"/>
          <w:szCs w:val="24"/>
          <w:lang w:val="bg-BG"/>
        </w:rPr>
        <w:t>. а.</w:t>
      </w:r>
      <w:r w:rsidRPr="00C4088B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C4088B">
        <w:rPr>
          <w:rFonts w:ascii="Times New Roman" w:hAnsi="Times New Roman" w:cs="Times New Roman"/>
          <w:sz w:val="24"/>
          <w:szCs w:val="24"/>
        </w:rPr>
        <w:t>,</w:t>
      </w:r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че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е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правилна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Ние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сме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били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окупатор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никого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Прочитът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историята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е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такъв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какъвто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историците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казали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какъвто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ние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векове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сме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възприели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искат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вървят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напред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ясни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01D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693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9301D">
        <w:rPr>
          <w:rFonts w:ascii="Times New Roman" w:hAnsi="Times New Roman" w:cs="Times New Roman"/>
          <w:i/>
          <w:sz w:val="24"/>
          <w:szCs w:val="24"/>
        </w:rPr>
        <w:t>ценностите</w:t>
      </w:r>
      <w:proofErr w:type="spellEnd"/>
      <w:r w:rsidRPr="000E3F3A"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. По спорните въпроси той добави още к</w:t>
      </w:r>
      <w:r w:rsidRPr="000E3F3A">
        <w:rPr>
          <w:rFonts w:ascii="Times New Roman" w:hAnsi="Times New Roman" w:cs="Times New Roman"/>
          <w:sz w:val="24"/>
          <w:szCs w:val="24"/>
          <w:lang w:val="bg-BG"/>
        </w:rPr>
        <w:t xml:space="preserve">ак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неслучайно </w:t>
      </w:r>
      <w:r w:rsidRPr="000E3F3A">
        <w:rPr>
          <w:rFonts w:ascii="Times New Roman" w:hAnsi="Times New Roman" w:cs="Times New Roman"/>
          <w:sz w:val="24"/>
          <w:szCs w:val="24"/>
          <w:lang w:val="bg-BG"/>
        </w:rPr>
        <w:t>в България има „</w:t>
      </w:r>
      <w:r w:rsidRPr="001D45E1">
        <w:rPr>
          <w:rFonts w:ascii="Times New Roman" w:hAnsi="Times New Roman" w:cs="Times New Roman"/>
          <w:i/>
          <w:sz w:val="24"/>
          <w:szCs w:val="24"/>
          <w:lang w:val="bg-BG"/>
        </w:rPr>
        <w:t>големи градове</w:t>
      </w:r>
      <w:r w:rsidRPr="000E3F3A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E3F3A">
        <w:rPr>
          <w:rFonts w:ascii="Times New Roman" w:hAnsi="Times New Roman" w:cs="Times New Roman"/>
          <w:sz w:val="24"/>
          <w:szCs w:val="24"/>
          <w:lang w:val="bg-BG"/>
        </w:rPr>
        <w:t xml:space="preserve"> кръстени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0E3F3A">
        <w:rPr>
          <w:rFonts w:ascii="Times New Roman" w:hAnsi="Times New Roman" w:cs="Times New Roman"/>
          <w:sz w:val="24"/>
          <w:szCs w:val="24"/>
          <w:lang w:val="bg-BG"/>
        </w:rPr>
        <w:t>Гоце Делчев и Сандански</w:t>
      </w:r>
      <w:r w:rsidR="0092595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25954" w:rsidRDefault="0092595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Мимоходом само да спомена, че изявлението не се нуждае от особен коментар. То е просто поредното доказателство за твърде семплите исторически познания на премиера. Ето защо подобни упражнения по исторически въпроси често го превръщат в жертва на невинаги убедителна българска националистическа пропаганда, в която има странна смесица на истини, полуистини, недовършени мисли, неточности, а понякога и най-откровени лъжи.</w:t>
      </w:r>
    </w:p>
    <w:p w:rsidR="00925954" w:rsidRDefault="0092595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Style w:val="unselectable"/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Изявлението на Мицкоски и неговата интерпретация от Борисов доведоха на 21 ноември до светкавична специална декларация от управляващия в Скопие СДСМ на премиера Зоран Заев. В нея открито се пита опозиционния лидер кого лъже, когато говори за отношенията и договора с България – македонските граждани или Борисов. В декларацията на СДСМ се казва още как </w:t>
      </w:r>
      <w:r w:rsidRPr="000E3F3A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>Мицкоски</w:t>
      </w:r>
      <w:proofErr w:type="spellEnd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>говори</w:t>
      </w:r>
      <w:proofErr w:type="spellEnd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>едно</w:t>
      </w:r>
      <w:proofErr w:type="spellEnd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>тук</w:t>
      </w:r>
      <w:proofErr w:type="spellEnd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>друго</w:t>
      </w:r>
      <w:proofErr w:type="spellEnd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>чужбина</w:t>
      </w:r>
      <w:proofErr w:type="spellEnd"/>
      <w:r w:rsidRPr="0069301D">
        <w:rPr>
          <w:rStyle w:val="unselectable"/>
          <w:rFonts w:ascii="Times New Roman" w:hAnsi="Times New Roman" w:cs="Times New Roman"/>
          <w:b/>
          <w:i/>
          <w:sz w:val="24"/>
          <w:szCs w:val="24"/>
        </w:rPr>
        <w:t>.</w:t>
      </w:r>
      <w:r w:rsidRPr="000E3F3A">
        <w:rPr>
          <w:rStyle w:val="unselectable"/>
          <w:rFonts w:ascii="Times New Roman" w:hAnsi="Times New Roman" w:cs="Times New Roman"/>
          <w:sz w:val="24"/>
          <w:szCs w:val="24"/>
          <w:lang w:val="bg-BG"/>
        </w:rPr>
        <w:t>“</w:t>
      </w:r>
    </w:p>
    <w:p w:rsidR="00E5778B" w:rsidRDefault="00E5778B" w:rsidP="0076304D">
      <w:pPr>
        <w:spacing w:after="0" w:line="240" w:lineRule="auto"/>
        <w:jc w:val="both"/>
        <w:rPr>
          <w:rStyle w:val="unselectable"/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unselectable"/>
          <w:rFonts w:ascii="Times New Roman" w:hAnsi="Times New Roman" w:cs="Times New Roman"/>
          <w:sz w:val="24"/>
          <w:szCs w:val="24"/>
          <w:lang w:val="bg-BG"/>
        </w:rPr>
        <w:t xml:space="preserve">Това пък даде повод на </w:t>
      </w:r>
      <w:r w:rsidR="00E5778B">
        <w:rPr>
          <w:rStyle w:val="unselectable"/>
          <w:rFonts w:ascii="Times New Roman" w:hAnsi="Times New Roman" w:cs="Times New Roman"/>
          <w:sz w:val="24"/>
          <w:szCs w:val="24"/>
          <w:lang w:val="bg-BG"/>
        </w:rPr>
        <w:t>самия</w:t>
      </w:r>
      <w:r>
        <w:rPr>
          <w:rStyle w:val="unselectable"/>
          <w:rFonts w:ascii="Times New Roman" w:hAnsi="Times New Roman" w:cs="Times New Roman"/>
          <w:sz w:val="24"/>
          <w:szCs w:val="24"/>
          <w:lang w:val="bg-BG"/>
        </w:rPr>
        <w:t xml:space="preserve"> Мицкоски по-късно същия ден,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изявление за македонската телевизия „Алфа“ </w:t>
      </w:r>
      <w:r>
        <w:rPr>
          <w:rStyle w:val="unselectable"/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bg-BG"/>
        </w:rPr>
        <w:t>Загреб, да се отдръпне или поне да направи уговорки спрямо вече обявеното, че поддържа договора с България. Той увери, че позицията му по този въпрос оставала непроменена (което може да се тълкува единствено с това, че ДПМНЕ продължава да е противник на този подписан на 1 август 2017 г. договор).</w:t>
      </w:r>
    </w:p>
    <w:p w:rsidR="00E5778B" w:rsidRDefault="00E5778B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Приемникът на бившия премиер Никола Груевски добави още как ДПМНЕ ще поддържа всичко, което е добро и за Македония, и за България. В допълнението си Мицкоски постави ударение върху инфраструктурните проекти и научното сътрудничество между университети. Изказа се и твърдо срещу отричането на македонския език и „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лика</w:t>
      </w:r>
      <w:r w:rsidRPr="001D45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делото на Гоце Делчев</w:t>
      </w:r>
      <w:r>
        <w:rPr>
          <w:rFonts w:ascii="Times New Roman" w:hAnsi="Times New Roman" w:cs="Times New Roman"/>
          <w:sz w:val="24"/>
          <w:szCs w:val="24"/>
          <w:lang w:val="bg-BG"/>
        </w:rPr>
        <w:t>“. Веднага да отбележим, че обединяването на двете теми е напълно неоправдано, ала наложената от определени сили в София рамкова позиция на българското правителство и парламент е „вдигнала топката“ на Мицкоски „за воле“ и той чувства, че ще е голям пропуск да не се възползва от това.</w:t>
      </w: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5778B" w:rsidRPr="00E5778B" w:rsidRDefault="00E5778B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5778B">
        <w:rPr>
          <w:rFonts w:ascii="Times New Roman" w:hAnsi="Times New Roman" w:cs="Times New Roman"/>
          <w:b/>
          <w:sz w:val="28"/>
          <w:szCs w:val="28"/>
          <w:lang w:val="bg-BG"/>
        </w:rPr>
        <w:t>Двойното говорене</w:t>
      </w:r>
    </w:p>
    <w:p w:rsidR="00E5778B" w:rsidRDefault="00E5778B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Отново за кой ли път стана ясно двойното, ако не и тройно, че и четворно говорене за българо-македонските отношения и историята, когато стане дума за държавници, политици, че и членове на смесената мултидисциплинарна комисия по исторически и образователни въпроси. Едно се говори на срещите, друго – насаме, трето – в медиите, четвърто – пред колегите, пето …</w:t>
      </w:r>
    </w:p>
    <w:p w:rsidR="00E5778B" w:rsidRDefault="00E5778B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Всъщност, причините за това са и по-дълбоки. Договорът за приятелство, добросъседство и сътрудничество бе резултат от надделяването на българските представи за история и за минало през 2017 г. (или поне на онези, от българска страна, които са участвали в изработаването му). Съгласието на македонската страна и подписът на З. Заев бяха смесица от едно искрено желание за евроатлантическа интеграция на Македония и подобряване на отношенията с България, както и дълбоко убеждение за нуждата от съобразяване с реалностите за постигане на външнополитически завой след десетилетната пагубна и изолационистка политика на ДПМНЕ и Н. Груевски.</w:t>
      </w:r>
    </w:p>
    <w:p w:rsidR="00B87B71" w:rsidRDefault="00B87B71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Ала макар официално договорът да се представя деперсонализирано като дело на българското Външно министерство (или и на двете министерства), внимателният прочит на самия текст и анализът на разни публични изявления след изготвянето му още в края на юли 2017 г., трудно могат да скрият почерка на двама ключови членове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на българската част от комисията и един евродепутат. В навечерието на самото му предварително подписване, известните с по-крайните си възгледи Божидар Димитров и Георги Марков, бяха скрити от българските медии, а след това именно споменатите бъдещи ключови членове на българската част от бъдещата комисия разясняваха в сутрешните блокове какво точно е подписано и какъв е смисълът му.</w:t>
      </w:r>
    </w:p>
    <w:p w:rsidR="00B87B71" w:rsidRDefault="00B87B71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87B71" w:rsidRPr="00B87B71" w:rsidRDefault="00B87B71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87B71">
        <w:rPr>
          <w:rFonts w:ascii="Times New Roman" w:hAnsi="Times New Roman" w:cs="Times New Roman"/>
          <w:b/>
          <w:sz w:val="28"/>
          <w:szCs w:val="28"/>
          <w:lang w:val="bg-BG"/>
        </w:rPr>
        <w:t>Какво разбираме под "обща история"</w:t>
      </w:r>
    </w:p>
    <w:p w:rsidR="00B87B71" w:rsidRDefault="00B87B71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 какво беше подписано по отношение на историята? Още в преамбюла се говореше, как двете договарящи се страни са водени от идеята за „</w:t>
      </w:r>
      <w:r w:rsidRPr="001C01D2">
        <w:rPr>
          <w:rFonts w:ascii="Times New Roman" w:hAnsi="Times New Roman" w:cs="Times New Roman"/>
          <w:i/>
          <w:sz w:val="24"/>
          <w:szCs w:val="24"/>
          <w:lang w:val="bg-BG"/>
        </w:rPr>
        <w:t>общата им история, която свързва двете държави и народите им</w:t>
      </w:r>
      <w:r>
        <w:rPr>
          <w:rFonts w:ascii="Times New Roman" w:hAnsi="Times New Roman" w:cs="Times New Roman"/>
          <w:sz w:val="24"/>
          <w:szCs w:val="24"/>
          <w:lang w:val="bg-BG"/>
        </w:rPr>
        <w:t>“. Съгласно пък чл. 8, ал. 2 комисията трябваше да е „</w:t>
      </w:r>
      <w:r w:rsidRPr="00972CCC">
        <w:rPr>
          <w:rFonts w:ascii="Times New Roman" w:hAnsi="Times New Roman" w:cs="Times New Roman"/>
          <w:i/>
          <w:sz w:val="24"/>
          <w:szCs w:val="24"/>
          <w:lang w:val="bg-BG"/>
        </w:rPr>
        <w:t>експертна</w:t>
      </w:r>
      <w:r>
        <w:rPr>
          <w:rFonts w:ascii="Times New Roman" w:hAnsi="Times New Roman" w:cs="Times New Roman"/>
          <w:sz w:val="24"/>
          <w:szCs w:val="24"/>
          <w:lang w:val="bg-BG"/>
        </w:rPr>
        <w:t>“ и да допринесе за „</w:t>
      </w:r>
      <w:r w:rsidRPr="000D25D3">
        <w:rPr>
          <w:rFonts w:ascii="Times New Roman" w:hAnsi="Times New Roman" w:cs="Times New Roman"/>
          <w:i/>
          <w:sz w:val="24"/>
          <w:szCs w:val="24"/>
          <w:lang w:val="bg-BG"/>
        </w:rPr>
        <w:t>обективното, основаващо се на автентични и основани на доказателства исторически извори за научно тълкуване на историческите събития</w:t>
      </w:r>
      <w:r>
        <w:rPr>
          <w:rFonts w:ascii="Times New Roman" w:hAnsi="Times New Roman" w:cs="Times New Roman"/>
          <w:sz w:val="24"/>
          <w:szCs w:val="24"/>
          <w:lang w:val="bg-BG"/>
        </w:rPr>
        <w:t>“. Заедно с това съгласно ал. 3 се предвиждаше двете държави да организират „</w:t>
      </w:r>
      <w:r w:rsidRPr="001C01D2">
        <w:rPr>
          <w:rFonts w:ascii="Times New Roman" w:hAnsi="Times New Roman" w:cs="Times New Roman"/>
          <w:i/>
          <w:sz w:val="24"/>
          <w:szCs w:val="24"/>
          <w:lang w:val="bg-BG"/>
        </w:rPr>
        <w:t>съвместни чествания на общи исторически събития и личности</w:t>
      </w:r>
      <w:r>
        <w:rPr>
          <w:rFonts w:ascii="Times New Roman" w:hAnsi="Times New Roman" w:cs="Times New Roman"/>
          <w:sz w:val="24"/>
          <w:szCs w:val="24"/>
          <w:lang w:val="bg-BG"/>
        </w:rPr>
        <w:t>“, което да е в духа на „</w:t>
      </w:r>
      <w:r w:rsidRPr="00385A51">
        <w:rPr>
          <w:rFonts w:ascii="Times New Roman" w:hAnsi="Times New Roman" w:cs="Times New Roman"/>
          <w:i/>
          <w:sz w:val="24"/>
          <w:szCs w:val="24"/>
          <w:lang w:val="bg-BG"/>
        </w:rPr>
        <w:t>европейските ценности</w:t>
      </w:r>
      <w:r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812DEC" w:rsidRDefault="00812DEC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Тук обаче, както и в няколкото загатнати направления, имаме определено „препъни камъни“. Различни се оказаха самите разбирания за „</w:t>
      </w:r>
      <w:r w:rsidRPr="003967F6">
        <w:rPr>
          <w:rFonts w:ascii="Times New Roman" w:hAnsi="Times New Roman" w:cs="Times New Roman"/>
          <w:i/>
          <w:sz w:val="24"/>
          <w:szCs w:val="24"/>
          <w:lang w:val="bg-BG"/>
        </w:rPr>
        <w:t>обща история</w:t>
      </w:r>
      <w:r>
        <w:rPr>
          <w:rFonts w:ascii="Times New Roman" w:hAnsi="Times New Roman" w:cs="Times New Roman"/>
          <w:sz w:val="24"/>
          <w:szCs w:val="24"/>
          <w:lang w:val="bg-BG"/>
        </w:rPr>
        <w:t>“, които видимо не се покриват с всичко, случило се от 6-7 век до 1944 г., според наивната представа, за съжаление, и на някои членове на българската комисия. Самата постановка бе резултат от дълбоко вкоренени в българското образование по история твърде наивни представи за миналото, за исторически разказ, за четенето и тълкуването на исторически извори, за етническите и националните идентичности, за т. нар. „обективност“ на историческото познание и т.н.</w:t>
      </w:r>
    </w:p>
    <w:p w:rsidR="00812DEC" w:rsidRDefault="00812DEC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Pr="00671555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Ето защо при разискванията на Средновековието ядрото на българските членове от смесената комисията навираха в очите на македонската страна споменаванията в изворите за „българи“, а отсреща твърдяха, че терминът трябва тепърва да се интерпретира от професионалистите историци. Когато това не помагаше, групата от Скопие контрираше с добре известните случаи, в които се говори в изворите за „мизи“, „скити“, „власи“ и т.н. Тук пък софийският екип вече настояваше да не се приемат изворите буквално, а да се тълкуват „експертно“. Е, за това авторите на чл. 8, ал. 2 явно не бяха помислили достатъчно.</w:t>
      </w: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F4E54" w:rsidRPr="00AF4E54" w:rsidRDefault="00AF4E54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F4E54">
        <w:rPr>
          <w:rFonts w:ascii="Times New Roman" w:hAnsi="Times New Roman" w:cs="Times New Roman"/>
          <w:b/>
          <w:sz w:val="28"/>
          <w:szCs w:val="28"/>
          <w:lang w:val="bg-BG"/>
        </w:rPr>
        <w:t>Няколко примера</w:t>
      </w:r>
    </w:p>
    <w:p w:rsidR="00AF4E54" w:rsidRDefault="00AF4E5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Ето защо поне двойното говорене, както казахме, е характерно не само за Мицкоски и други политици, но и за членове на самата смесена комисия. Както в Македония, така и в България.</w:t>
      </w:r>
    </w:p>
    <w:p w:rsidR="00AF4E54" w:rsidRDefault="00AF4E5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Например в предаване от 15 юни т.г. на телевизия „Сител“ в Скопие съпредседателят на македонската страна на Смесената комисия Драги Георгиев бе категоричен, че Гоце Делчев е „</w:t>
      </w:r>
      <w:r w:rsidRPr="0068525C">
        <w:rPr>
          <w:rFonts w:ascii="Times New Roman" w:hAnsi="Times New Roman" w:cs="Times New Roman"/>
          <w:i/>
          <w:sz w:val="24"/>
          <w:szCs w:val="24"/>
          <w:lang w:val="bg-BG"/>
        </w:rPr>
        <w:t>македонски революционер</w:t>
      </w:r>
      <w:r>
        <w:rPr>
          <w:rFonts w:ascii="Times New Roman" w:hAnsi="Times New Roman" w:cs="Times New Roman"/>
          <w:sz w:val="24"/>
          <w:szCs w:val="24"/>
          <w:lang w:val="bg-BG"/>
        </w:rPr>
        <w:t>“ „</w:t>
      </w:r>
      <w:r w:rsidRPr="0068525C">
        <w:rPr>
          <w:rFonts w:ascii="Times New Roman" w:hAnsi="Times New Roman" w:cs="Times New Roman"/>
          <w:i/>
          <w:sz w:val="24"/>
          <w:szCs w:val="24"/>
          <w:lang w:val="bg-BG"/>
        </w:rPr>
        <w:t>македонска национална легенда</w:t>
      </w:r>
      <w:r>
        <w:rPr>
          <w:rFonts w:ascii="Times New Roman" w:hAnsi="Times New Roman" w:cs="Times New Roman"/>
          <w:sz w:val="24"/>
          <w:szCs w:val="24"/>
          <w:lang w:val="bg-BG"/>
        </w:rPr>
        <w:t>“, „</w:t>
      </w:r>
      <w:r w:rsidRPr="0068525C">
        <w:rPr>
          <w:rFonts w:ascii="Times New Roman" w:hAnsi="Times New Roman" w:cs="Times New Roman"/>
          <w:i/>
          <w:sz w:val="24"/>
          <w:szCs w:val="24"/>
          <w:lang w:val="bg-BG"/>
        </w:rPr>
        <w:t>мит</w:t>
      </w:r>
      <w:r>
        <w:rPr>
          <w:rFonts w:ascii="Times New Roman" w:hAnsi="Times New Roman" w:cs="Times New Roman"/>
          <w:sz w:val="24"/>
          <w:szCs w:val="24"/>
          <w:lang w:val="bg-BG"/>
        </w:rPr>
        <w:t>“, „</w:t>
      </w:r>
      <w:r w:rsidRPr="0068525C">
        <w:rPr>
          <w:rFonts w:ascii="Times New Roman" w:hAnsi="Times New Roman" w:cs="Times New Roman"/>
          <w:i/>
          <w:sz w:val="24"/>
          <w:szCs w:val="24"/>
          <w:lang w:val="bg-BG"/>
        </w:rPr>
        <w:t>втемелен в македонската държавност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“. Той добави още как Гоце се е борел за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„</w:t>
      </w:r>
      <w:r w:rsidRPr="0068525C">
        <w:rPr>
          <w:rFonts w:ascii="Times New Roman" w:hAnsi="Times New Roman" w:cs="Times New Roman"/>
          <w:i/>
          <w:sz w:val="24"/>
          <w:szCs w:val="24"/>
          <w:lang w:val="bg-BG"/>
        </w:rPr>
        <w:t>политическа автономия</w:t>
      </w:r>
      <w:r>
        <w:rPr>
          <w:rFonts w:ascii="Times New Roman" w:hAnsi="Times New Roman" w:cs="Times New Roman"/>
          <w:sz w:val="24"/>
          <w:szCs w:val="24"/>
          <w:lang w:val="bg-BG"/>
        </w:rPr>
        <w:t>“, „</w:t>
      </w:r>
      <w:r w:rsidRPr="0068525C">
        <w:rPr>
          <w:rFonts w:ascii="Times New Roman" w:hAnsi="Times New Roman" w:cs="Times New Roman"/>
          <w:i/>
          <w:sz w:val="24"/>
          <w:szCs w:val="24"/>
          <w:lang w:val="bg-BG"/>
        </w:rPr>
        <w:t>независима държава</w:t>
      </w:r>
      <w:r>
        <w:rPr>
          <w:rFonts w:ascii="Times New Roman" w:hAnsi="Times New Roman" w:cs="Times New Roman"/>
          <w:sz w:val="24"/>
          <w:szCs w:val="24"/>
          <w:lang w:val="bg-BG"/>
        </w:rPr>
        <w:t>“, а поради това не може да не остане в македонските учебници като „</w:t>
      </w:r>
      <w:r w:rsidRPr="0068525C">
        <w:rPr>
          <w:rFonts w:ascii="Times New Roman" w:hAnsi="Times New Roman" w:cs="Times New Roman"/>
          <w:i/>
          <w:sz w:val="24"/>
          <w:szCs w:val="24"/>
          <w:lang w:val="bg-BG"/>
        </w:rPr>
        <w:t>македонски революционер</w:t>
      </w:r>
      <w:r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BB7D88" w:rsidRDefault="00BB7D88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Всичко това няма как да е казано – и то точно по този начин – без да се имат предвид острите позиции на македонската опозиция в лицето на хора като Мицкоски, както и потенциалните изявления на консервативни и националистически настроени колеги на Георгиев от Института за национална история в Скопие. Ето защо той видимо разчита казаното от него (в което не съм сигурен, че е докрай убеден) да бъде възприето не само в смисъла на политическото, но и съвременното етническо македонско чувство, с което Гоце все още няма нищо общо, нито е можел да го предвиди.</w:t>
      </w:r>
    </w:p>
    <w:p w:rsidR="00BB7D88" w:rsidRDefault="00BB7D88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Въобще, трудността на македонската част и македонската историография се състои в признаването, че българската идентичност е цял етап – продължил около седем десетилетия - от формирането на македонската нация. Тогава етническите македонци са рехаво малцинство, представящо една </w:t>
      </w:r>
      <w:r w:rsidR="00BB7D88">
        <w:rPr>
          <w:rFonts w:ascii="Times New Roman" w:hAnsi="Times New Roman" w:cs="Times New Roman"/>
          <w:sz w:val="24"/>
          <w:szCs w:val="24"/>
          <w:lang w:val="bg-BG"/>
        </w:rPr>
        <w:t xml:space="preserve">общо </w:t>
      </w:r>
      <w:r>
        <w:rPr>
          <w:rFonts w:ascii="Times New Roman" w:hAnsi="Times New Roman" w:cs="Times New Roman"/>
          <w:sz w:val="24"/>
          <w:szCs w:val="24"/>
          <w:lang w:val="bg-BG"/>
        </w:rPr>
        <w:t>взето отделна струя на движението в Македония.</w:t>
      </w:r>
    </w:p>
    <w:p w:rsidR="00BB7D88" w:rsidRDefault="00BB7D88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Особено красноречиво свидетелство за различното говорене пред различни аудитории бяха някои последни изяви на Наум Кайчев, зам.-съпредседател на българската част от комисия</w:t>
      </w:r>
      <w:r w:rsidR="00F864A0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>. Преди седмици, на състояла се среща в Македонския научен институт (МНИ) в София, Кайчев обясни, че се радва да бъде сред „</w:t>
      </w:r>
      <w:r w:rsidRPr="001D45E1">
        <w:rPr>
          <w:rFonts w:ascii="Times New Roman" w:hAnsi="Times New Roman" w:cs="Times New Roman"/>
          <w:i/>
          <w:sz w:val="24"/>
          <w:szCs w:val="24"/>
          <w:lang w:val="bg-BG"/>
        </w:rPr>
        <w:t>съмишленици</w:t>
      </w:r>
      <w:r>
        <w:rPr>
          <w:rFonts w:ascii="Times New Roman" w:hAnsi="Times New Roman" w:cs="Times New Roman"/>
          <w:sz w:val="24"/>
          <w:szCs w:val="24"/>
          <w:lang w:val="bg-BG"/>
        </w:rPr>
        <w:t>“. Нещо повече, в контекст за работата на комисията и българо-македонските отношения не пропусна да спомене изрично и името на Божидар Димитров и завършването на недовършеното от него. А подобно позоваване допълнително потвърждава отдавна развитата от мен теза, че между наследството на Б. Димитров и основното русло на българската историография или „просветения български историографски национализъм“ никога не е съществувал някакъв дълбок ценностен конфликт, и изявлението на Кайчев е доказателство за тов</w:t>
      </w:r>
      <w:r w:rsidRPr="00F864A0">
        <w:rPr>
          <w:rFonts w:ascii="Times New Roman" w:hAnsi="Times New Roman" w:cs="Times New Roman"/>
          <w:sz w:val="24"/>
          <w:szCs w:val="24"/>
          <w:lang w:val="bg-BG"/>
        </w:rPr>
        <w:t>а. Б. Димитров е просто това, което неговите учители в университета са говорили на няколко питиета. Тук е времето да припомним, че в знак на не много похв</w:t>
      </w:r>
      <w:r>
        <w:rPr>
          <w:rFonts w:ascii="Times New Roman" w:hAnsi="Times New Roman" w:cs="Times New Roman"/>
          <w:sz w:val="24"/>
          <w:szCs w:val="24"/>
          <w:lang w:val="bg-BG"/>
        </w:rPr>
        <w:t>ална дипломатичност македонската част от комисия беше вкарана да заседава на 12 и 13 септември т.г. в София в бившия му кабинет с цялата придружаваща го орнаментика и образност.</w:t>
      </w:r>
    </w:p>
    <w:p w:rsidR="00F864A0" w:rsidRDefault="00F864A0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4FDE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 да се върнем на двойното говорене. Пред МНИ Кайчев съобщи още с известна ирония за забележката на македонската страна относно упоритото говорене в българските учебници за „български земи“ през Средновековието. Той изтъкна още, че българската страна е съумяла да поднесе контрааргументи в тази посока, без да обяви нито един от тях. След дни обаче, на 23 октомври, в предаването на Георги Коритаров „Свободна зона“ по телевизия „Европа“, сблъсквайки се с настойчивите му въпроси, зам.-съпредседателят на българската част от комисията премина към едно друго говорене. Спирайки се на личностите, по които вече е постигнато съгласие или „известни резултати“, Кайчев изброи имената на светите братя Кирил и Методий, Св. Климент Охридски, Св. Наум Охридски, както и на цар Самуил, все „</w:t>
      </w:r>
      <w:r w:rsidRPr="009173F6">
        <w:rPr>
          <w:rFonts w:ascii="Times New Roman" w:hAnsi="Times New Roman" w:cs="Times New Roman"/>
          <w:i/>
          <w:sz w:val="24"/>
          <w:szCs w:val="24"/>
          <w:lang w:val="bg-BG"/>
        </w:rPr>
        <w:t>фигури от нашата обща история</w:t>
      </w:r>
      <w:r>
        <w:rPr>
          <w:rFonts w:ascii="Times New Roman" w:hAnsi="Times New Roman" w:cs="Times New Roman"/>
          <w:sz w:val="24"/>
          <w:szCs w:val="24"/>
          <w:lang w:val="bg-BG"/>
        </w:rPr>
        <w:t>“. Последва остро възражение на Г. Коритаров, че – така или иначе – за македонската страна това ще си остане част от „</w:t>
      </w:r>
      <w:r w:rsidRPr="001D45E1">
        <w:rPr>
          <w:rFonts w:ascii="Times New Roman" w:hAnsi="Times New Roman" w:cs="Times New Roman"/>
          <w:i/>
          <w:sz w:val="24"/>
          <w:szCs w:val="24"/>
          <w:lang w:val="bg-BG"/>
        </w:rPr>
        <w:t>обща история на славянството</w:t>
      </w:r>
      <w:r>
        <w:rPr>
          <w:rFonts w:ascii="Times New Roman" w:hAnsi="Times New Roman" w:cs="Times New Roman"/>
          <w:sz w:val="24"/>
          <w:szCs w:val="24"/>
          <w:lang w:val="bg-BG"/>
        </w:rPr>
        <w:t>“, допълвайки с въпроса: „</w:t>
      </w:r>
      <w:r w:rsidRPr="00D53B6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Ние можем ли обаче да извадим документ или </w:t>
      </w:r>
      <w:r w:rsidRPr="00D53B63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доказателство, че св. Климент, св. Наум, светите братя Кирил и Методий са се идентифицирали етнически като „българи“?</w:t>
      </w:r>
      <w:r>
        <w:rPr>
          <w:rFonts w:ascii="Times New Roman" w:hAnsi="Times New Roman" w:cs="Times New Roman"/>
          <w:sz w:val="24"/>
          <w:szCs w:val="24"/>
          <w:lang w:val="bg-BG"/>
        </w:rPr>
        <w:t>“ Видимо неприятно изненадан от ребром поставения въпрос след повече от две години комфортни гостувания по телевизионни студия (където репортери и репортерки най-често започват с въпросите: „А кога македонците ще признаят…“, „А докога македонците…“), Кайч</w:t>
      </w:r>
      <w:r w:rsidRPr="00AC5228">
        <w:rPr>
          <w:rFonts w:ascii="Times New Roman" w:hAnsi="Times New Roman" w:cs="Times New Roman"/>
          <w:sz w:val="24"/>
          <w:szCs w:val="24"/>
          <w:lang w:val="bg-BG"/>
        </w:rPr>
        <w:t>ев отговори: „</w:t>
      </w:r>
      <w:r w:rsidRPr="00AC5228">
        <w:rPr>
          <w:rFonts w:ascii="Times New Roman" w:hAnsi="Times New Roman" w:cs="Times New Roman"/>
          <w:i/>
          <w:sz w:val="24"/>
          <w:szCs w:val="24"/>
          <w:lang w:val="bg-BG"/>
        </w:rPr>
        <w:t>Никой не го твърди това.</w:t>
      </w:r>
      <w:r w:rsidRPr="00AC5228">
        <w:rPr>
          <w:rFonts w:ascii="Times New Roman" w:hAnsi="Times New Roman" w:cs="Times New Roman"/>
          <w:sz w:val="24"/>
          <w:szCs w:val="24"/>
          <w:lang w:val="bg-BG"/>
        </w:rPr>
        <w:t>“ Добави и</w:t>
      </w:r>
      <w:r w:rsidR="004421F7">
        <w:rPr>
          <w:rFonts w:ascii="Times New Roman" w:hAnsi="Times New Roman" w:cs="Times New Roman"/>
          <w:sz w:val="24"/>
          <w:szCs w:val="24"/>
          <w:lang w:val="bg-BG"/>
        </w:rPr>
        <w:t xml:space="preserve"> това</w:t>
      </w:r>
      <w:r w:rsidRPr="00AC5228">
        <w:rPr>
          <w:rFonts w:ascii="Times New Roman" w:hAnsi="Times New Roman" w:cs="Times New Roman"/>
          <w:sz w:val="24"/>
          <w:szCs w:val="24"/>
          <w:lang w:val="bg-BG"/>
        </w:rPr>
        <w:t>, че само се казва</w:t>
      </w:r>
      <w:r w:rsidR="004421F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C5228">
        <w:rPr>
          <w:rFonts w:ascii="Times New Roman" w:hAnsi="Times New Roman" w:cs="Times New Roman"/>
          <w:sz w:val="24"/>
          <w:szCs w:val="24"/>
          <w:lang w:val="bg-BG"/>
        </w:rPr>
        <w:t xml:space="preserve"> дето тяхното дело е било възможно благодарение на България. Ала дойде нов притискащ въпрос от Г. Коритаров: „</w:t>
      </w:r>
      <w:r w:rsidRPr="00AC5228">
        <w:rPr>
          <w:rFonts w:ascii="Times New Roman" w:hAnsi="Times New Roman" w:cs="Times New Roman"/>
          <w:i/>
          <w:sz w:val="24"/>
          <w:szCs w:val="24"/>
          <w:lang w:val="bg-BG"/>
        </w:rPr>
        <w:t>А има ли данни как са се самоопределяли етнически?</w:t>
      </w:r>
      <w:r w:rsidRPr="00AC5228">
        <w:rPr>
          <w:rFonts w:ascii="Times New Roman" w:hAnsi="Times New Roman" w:cs="Times New Roman"/>
          <w:sz w:val="24"/>
          <w:szCs w:val="24"/>
          <w:lang w:val="bg-BG"/>
        </w:rPr>
        <w:t>“, на който Кайчев побърза да отгов</w:t>
      </w:r>
      <w:r w:rsidR="004421F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AC5228">
        <w:rPr>
          <w:rFonts w:ascii="Times New Roman" w:hAnsi="Times New Roman" w:cs="Times New Roman"/>
          <w:sz w:val="24"/>
          <w:szCs w:val="24"/>
          <w:lang w:val="bg-BG"/>
        </w:rPr>
        <w:t>ри: „</w:t>
      </w:r>
      <w:r w:rsidRPr="00AC5228">
        <w:rPr>
          <w:rFonts w:ascii="Times New Roman" w:hAnsi="Times New Roman" w:cs="Times New Roman"/>
          <w:i/>
          <w:sz w:val="24"/>
          <w:szCs w:val="24"/>
          <w:lang w:val="bg-BG"/>
        </w:rPr>
        <w:t>Това в случая не е фокусът на нашия интерес.</w:t>
      </w:r>
      <w:r w:rsidRPr="00AC5228">
        <w:rPr>
          <w:rFonts w:ascii="Times New Roman" w:hAnsi="Times New Roman" w:cs="Times New Roman"/>
          <w:sz w:val="24"/>
          <w:szCs w:val="24"/>
          <w:lang w:val="bg-BG"/>
        </w:rPr>
        <w:t xml:space="preserve">“ Нямаше и как да не се види, че има разлика в подходите по отношение на Гоце Делчев, от една страна, и фигурите от Средновековието, от друга. В единия случай е важно делото, наследството, а в другия – изрично декларираната </w:t>
      </w:r>
      <w:r w:rsidR="00774FDE">
        <w:rPr>
          <w:rFonts w:ascii="Times New Roman" w:hAnsi="Times New Roman" w:cs="Times New Roman"/>
          <w:sz w:val="24"/>
          <w:szCs w:val="24"/>
          <w:lang w:val="bg-BG"/>
        </w:rPr>
        <w:t>идентичност.</w:t>
      </w:r>
    </w:p>
    <w:p w:rsidR="00774FDE" w:rsidRDefault="00774FDE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27534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5228">
        <w:rPr>
          <w:rFonts w:ascii="Times New Roman" w:hAnsi="Times New Roman" w:cs="Times New Roman"/>
          <w:sz w:val="24"/>
          <w:szCs w:val="24"/>
          <w:lang w:val="bg-BG"/>
        </w:rPr>
        <w:t>Но да оставим това настрана. Отговорът, че не трябва да се прехвърлят назад в миналото определени днешни представи за етническа идентичност обаче означава две неща, които засега поне видимо старателно се крият както от членове на комисията, така и от държавници, едновременно от българската, и от македонската по-широка публика (да не забравяме, че договорените текстове и до днес не са огласени публично – нито в София, нито в Скопие).</w:t>
      </w:r>
    </w:p>
    <w:p w:rsidR="00F27534" w:rsidRDefault="00F27534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B6A3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5228">
        <w:rPr>
          <w:rFonts w:ascii="Times New Roman" w:hAnsi="Times New Roman" w:cs="Times New Roman"/>
          <w:sz w:val="24"/>
          <w:szCs w:val="24"/>
          <w:lang w:val="bg-BG"/>
        </w:rPr>
        <w:t xml:space="preserve">На практика, в резултат от преговорите на комисията и изготвените вече общи текстове, особено за Средновековието, е буквално строшена логиката на целия националистически гръбнак на двата исторически разказа – българския и македонския. Видимо е нужно не само цялостно пренаписване на македонските, но и на българските (!) учебници. Защото, ако Климент и Наум не </w:t>
      </w:r>
      <w:r>
        <w:rPr>
          <w:rFonts w:ascii="Times New Roman" w:hAnsi="Times New Roman" w:cs="Times New Roman"/>
          <w:sz w:val="24"/>
          <w:szCs w:val="24"/>
          <w:lang w:val="bg-BG"/>
        </w:rPr>
        <w:t>са „българи“, какво пък остава за прословутата „средновековна българска народност“?</w:t>
      </w:r>
    </w:p>
    <w:p w:rsidR="00BB6A3D" w:rsidRDefault="00BB6A3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Pr="00236458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6458">
        <w:rPr>
          <w:rFonts w:ascii="Times New Roman" w:hAnsi="Times New Roman" w:cs="Times New Roman"/>
          <w:sz w:val="24"/>
          <w:szCs w:val="24"/>
          <w:lang w:val="bg-BG"/>
        </w:rPr>
        <w:t xml:space="preserve">В няколко интервюта напоследък Иван Илчев съобщи как заявил по време на срещата на комисията с президента Румен Радев, че ще са необходими поне пет години за „оправяне“ на македонските учебници. А защо не се обясни на българските държавници и публика, че според постигнатото съгласие съвършено различно вече трябва да изглежда и българския разказ? И кой ще го направи? </w:t>
      </w: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53059" w:rsidRPr="00753059" w:rsidRDefault="00753059" w:rsidP="0076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53059">
        <w:rPr>
          <w:rFonts w:ascii="Times New Roman" w:hAnsi="Times New Roman" w:cs="Times New Roman"/>
          <w:b/>
          <w:sz w:val="28"/>
          <w:szCs w:val="28"/>
          <w:lang w:val="bg-BG"/>
        </w:rPr>
        <w:t>Динамичната идентичност</w:t>
      </w:r>
    </w:p>
    <w:p w:rsidR="00753059" w:rsidRDefault="00753059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5DA3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 само дни преди това Кайчев твърдеше колко ясен е въпросът с идентичностите, оспорвайки техния сложен и най-важното динамичен характер. Защото</w:t>
      </w:r>
      <w:r w:rsidR="00E65DA3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макар Григор Пърличев да се представя в своята „Автобиография“ за „българин“, необходими са и едно по-внимателно вглеждане и уговорки при един дебат по този въпрос.</w:t>
      </w:r>
    </w:p>
    <w:p w:rsidR="00E65DA3" w:rsidRDefault="00E65DA3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0717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Преди години, например, се появи книгата на белгийския българист Раймонд Детрез, който усложняваше този образ и идентичност на „българина“ Григор Пърличев. Работейки „</w:t>
      </w:r>
      <w:r w:rsidRPr="00972CCC">
        <w:rPr>
          <w:rFonts w:ascii="Times New Roman" w:hAnsi="Times New Roman" w:cs="Times New Roman"/>
          <w:i/>
          <w:sz w:val="24"/>
          <w:szCs w:val="24"/>
          <w:lang w:val="bg-BG"/>
        </w:rPr>
        <w:t>експертн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“, както и базирайки се на „</w:t>
      </w:r>
      <w:r w:rsidRPr="000D25D3">
        <w:rPr>
          <w:rFonts w:ascii="Times New Roman" w:hAnsi="Times New Roman" w:cs="Times New Roman"/>
          <w:i/>
          <w:sz w:val="24"/>
          <w:szCs w:val="24"/>
          <w:lang w:val="bg-BG"/>
        </w:rPr>
        <w:t>обективното, основаващо се на автентични и основани на доказателства исторически извори за научно тълкуване на историческите събития</w:t>
      </w:r>
      <w:r>
        <w:rPr>
          <w:rFonts w:ascii="Times New Roman" w:hAnsi="Times New Roman" w:cs="Times New Roman"/>
          <w:sz w:val="24"/>
          <w:szCs w:val="24"/>
          <w:lang w:val="bg-BG"/>
        </w:rPr>
        <w:t>“, добре запознат с „</w:t>
      </w:r>
      <w:r w:rsidRPr="00385A51">
        <w:rPr>
          <w:rFonts w:ascii="Times New Roman" w:hAnsi="Times New Roman" w:cs="Times New Roman"/>
          <w:i/>
          <w:sz w:val="24"/>
          <w:szCs w:val="24"/>
          <w:lang w:val="bg-BG"/>
        </w:rPr>
        <w:t>европейските ценности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(все изисквания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на договора за приятелство) Детрез изтъква как Пърличев гледа на Македония като българска, но от една спе</w:t>
      </w:r>
      <w:r w:rsidR="001E0717">
        <w:rPr>
          <w:rFonts w:ascii="Times New Roman" w:hAnsi="Times New Roman" w:cs="Times New Roman"/>
          <w:sz w:val="24"/>
          <w:szCs w:val="24"/>
          <w:lang w:val="bg-BG"/>
        </w:rPr>
        <w:t>цифична македонска перспектива.</w:t>
      </w:r>
    </w:p>
    <w:p w:rsidR="001E0717" w:rsidRDefault="001E0717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92B49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Сам Пърличев не е встрани от все по-растящия македонски езиков партикуларизъм и симпатизира на появилите се вече учебници и дори граматики</w:t>
      </w:r>
      <w:r w:rsidR="001E0717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основани на местните македонски диалекти. Внимателният и задълбочен анализ ни кара да видим още, че макар и оставащ чужд на македонския сепаратизъм, за П</w:t>
      </w:r>
      <w:r w:rsidR="00A92B49">
        <w:rPr>
          <w:rFonts w:ascii="Times New Roman" w:hAnsi="Times New Roman" w:cs="Times New Roman"/>
          <w:sz w:val="24"/>
          <w:szCs w:val="24"/>
          <w:lang w:val="bg-BG"/>
        </w:rPr>
        <w:t>ърличев „отечеството“ си остава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най-вече Охрид. За белгийския българист Пърличевото българско национално съзнание има по-скоро като че ли декларативен, риторически характер. Заедно с това Детрез не пропуска, че са възможни в различни контексти и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C92F7E">
        <w:rPr>
          <w:rFonts w:ascii="Times New Roman" w:hAnsi="Times New Roman" w:cs="Times New Roman"/>
          <w:i/>
          <w:sz w:val="24"/>
          <w:szCs w:val="24"/>
          <w:lang w:val="bg-BG"/>
        </w:rPr>
        <w:t>размествания в йерархията на идентификации и лоялности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A92B49" w:rsidRDefault="00A92B49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 накрая, без да стигаме до свръхинтерпретацията на днешната македонска историография, няма как да пренебрегнем изцяло една негова реч от 80-те години</w:t>
      </w:r>
      <w:r w:rsidR="00A92B49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изпълнена с позовавания на „майка Македония“, „македонска земя“, Александър и Кирил и Методий. За Детрез подобно разподобяване на две „татковини“ трябва да ни накара сериозно да се замислим за възможността от поява един ден на някакво зачатъчно македонско обособяване при Пърличев, ала не пропуска и категорично да допълни, че всяка интерпретация, която отива по-далеч от това, би била все още твърде пресилена.</w:t>
      </w:r>
    </w:p>
    <w:p w:rsidR="00B60A22" w:rsidRDefault="00B60A22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60A22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Ето защо определянето на идентичността на една историческа личност наистина не е просто нещо. А и от нея не следва нищо трайно и вечно.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Макар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Пейо Яворов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е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българин от Чирпан,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нищо не му пречи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открито декларира в предсмъртното си писмо, че е „неин“ (на Македония).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сметка на това един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Никола Вапцаров, съвсем не без въздействието на решенията на БКП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Коминтерна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деклариран македонец, но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безспорно е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изцяло българин по възпитание. Той не владее македонските говори и затова не създава на тях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никаква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литература, ала пише „песни за Македония“ на български език като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стихове </w:t>
      </w:r>
      <w:r w:rsidR="00B60A22">
        <w:rPr>
          <w:rFonts w:ascii="Times New Roman" w:hAnsi="Times New Roman" w:cs="Times New Roman"/>
          <w:sz w:val="24"/>
          <w:szCs w:val="24"/>
          <w:lang w:val="bg-BG"/>
        </w:rPr>
        <w:t>за „родина“.</w:t>
      </w:r>
    </w:p>
    <w:p w:rsidR="00B60A22" w:rsidRDefault="00B60A22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пък да вземем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Венко Марковски? Прекрасно владеещ македонските говори и създал забележителна поезия на тях,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бидейки сам и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един от бащите на македонския литературен език,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Марковски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завърш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ва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живота си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 извървявайки обратния път към българската идентичност на бащите. Без </w:t>
      </w:r>
      <w:r>
        <w:rPr>
          <w:rFonts w:ascii="Times New Roman" w:hAnsi="Times New Roman" w:cs="Times New Roman"/>
          <w:sz w:val="24"/>
          <w:szCs w:val="24"/>
          <w:lang w:val="bg-BG"/>
        </w:rPr>
        <w:t>Марковски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, как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всички гореизброени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биха погледнали на реалността след 1944 г., какво биха казали за случващото се </w:t>
      </w:r>
      <w:r w:rsidR="00D119B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 за новата а</w:t>
      </w:r>
      <w:r w:rsidR="00D119BB">
        <w:rPr>
          <w:rFonts w:ascii="Times New Roman" w:hAnsi="Times New Roman" w:cs="Times New Roman"/>
          <w:sz w:val="24"/>
          <w:szCs w:val="24"/>
          <w:lang w:val="bg-BG"/>
        </w:rPr>
        <w:t>збука, за стандартизирания език –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 ние никога няма да узнаем. Това само още веднъж трябва да ни демонстрира </w:t>
      </w:r>
      <w:r w:rsidR="00D119BB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 задачата е толкова трудна, че едва ли някаква комисия от 14 души би могла да зададе закован отговор. Още повече</w:t>
      </w:r>
      <w:r w:rsidR="00D119B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 когато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въпросът е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постав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ен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или…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или…</w:t>
      </w:r>
    </w:p>
    <w:p w:rsidR="00D119BB" w:rsidRPr="00C92F7E" w:rsidRDefault="00D119BB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B32DC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Да не говорим за Гоце Делчев. Деклариран българин като Пърличев,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ала за разлика от него изучавал и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прекрасно владеещ българския език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Което не му пречи да вижда своето „отечество“ не в един град, а да говори за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 xml:space="preserve">Македония като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такава „татковина“ и да даде </w:t>
      </w:r>
      <w:r w:rsidRPr="00C92F7E">
        <w:rPr>
          <w:rFonts w:ascii="Times New Roman" w:hAnsi="Times New Roman" w:cs="Times New Roman"/>
          <w:sz w:val="24"/>
          <w:szCs w:val="24"/>
          <w:lang w:val="bg-BG"/>
        </w:rPr>
        <w:t>всичко за нея.</w:t>
      </w:r>
    </w:p>
    <w:p w:rsidR="00EB32DC" w:rsidRDefault="00EB32DC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43FEE" w:rsidRDefault="0076304D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Още по-сложно става всичко</w:t>
      </w:r>
      <w:r w:rsidR="00EB32DC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когато Мицкоски видимо смята да го поставя като една от основните теми на предизборната си кампания за април 2020 г., превръщайки го в югославски или постюгославски македонец. Заедно с въпроса за езика (македонския), който Гоце никога не е познавал и няма как да го питаме какво мисли за него. Всъщност, на 28 и 29 ноември комисията ще се срещне в София и отново </w:t>
      </w:r>
      <w:r w:rsidR="00EB32DC">
        <w:rPr>
          <w:rFonts w:ascii="Times New Roman" w:hAnsi="Times New Roman" w:cs="Times New Roman"/>
          <w:sz w:val="24"/>
          <w:szCs w:val="24"/>
          <w:lang w:val="bg-BG"/>
        </w:rPr>
        <w:t>една от темите, които ще обсъжда,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тази за Гоце. Ала след българската рамкова позиция и обявения стремеж на Мицкоски да използва личността на революционера в предизборната кампания пред незапознатия с историята електорат, няма как да бъдем оптимисти за предстоящите заседания.</w:t>
      </w:r>
    </w:p>
    <w:p w:rsidR="00943FEE" w:rsidRDefault="00943FEE" w:rsidP="0076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304D" w:rsidRPr="001244FF" w:rsidRDefault="0076304D" w:rsidP="0076304D">
      <w:pPr>
        <w:spacing w:after="0" w:line="240" w:lineRule="auto"/>
        <w:jc w:val="both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Каракачанов казва, че „македонската страна тупа топката“. Ала има и една друга топка. Нея си е прехвърлят Мицкоски и самия Каракчанов в борба за електорат от двете страни на границата. Което със сигурност не е добро нито за България, нито за Македония.  </w:t>
      </w:r>
    </w:p>
    <w:bookmarkEnd w:id="0"/>
    <w:p w:rsidR="00E3007C" w:rsidRPr="005E37DE" w:rsidRDefault="00E3007C" w:rsidP="005E37DE"/>
    <w:sectPr w:rsidR="00E3007C" w:rsidRPr="005E3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767" w:rsidRDefault="00347767" w:rsidP="002E4815">
      <w:pPr>
        <w:spacing w:after="0" w:line="240" w:lineRule="auto"/>
      </w:pPr>
      <w:r>
        <w:separator/>
      </w:r>
    </w:p>
  </w:endnote>
  <w:endnote w:type="continuationSeparator" w:id="0">
    <w:p w:rsidR="00347767" w:rsidRDefault="00347767" w:rsidP="002E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AB" w:rsidRDefault="00DD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147" w:rsidRPr="008C6147" w:rsidRDefault="008C6147" w:rsidP="008C6147">
    <w:pPr>
      <w:pStyle w:val="Footer"/>
      <w:jc w:val="center"/>
      <w:rPr>
        <w:i/>
      </w:rPr>
    </w:pPr>
    <w:proofErr w:type="spellStart"/>
    <w:r w:rsidRPr="00B55CCA">
      <w:rPr>
        <w:i/>
        <w:color w:val="D9D9D9" w:themeColor="background1" w:themeShade="D9"/>
        <w:lang w:val="en-US"/>
      </w:rPr>
      <w:t>Радио</w:t>
    </w:r>
    <w:proofErr w:type="spellEnd"/>
    <w:r w:rsidRPr="00B55CCA">
      <w:rPr>
        <w:i/>
        <w:color w:val="D9D9D9" w:themeColor="background1" w:themeShade="D9"/>
        <w:lang w:val="en-US"/>
      </w:rPr>
      <w:t xml:space="preserve"> </w:t>
    </w:r>
    <w:proofErr w:type="spellStart"/>
    <w:r w:rsidRPr="00B55CCA">
      <w:rPr>
        <w:i/>
        <w:color w:val="D9D9D9" w:themeColor="background1" w:themeShade="D9"/>
        <w:lang w:val="en-US"/>
      </w:rPr>
      <w:t>Свободна</w:t>
    </w:r>
    <w:proofErr w:type="spellEnd"/>
    <w:r w:rsidRPr="00B55CCA">
      <w:rPr>
        <w:i/>
        <w:color w:val="D9D9D9" w:themeColor="background1" w:themeShade="D9"/>
        <w:lang w:val="en-US"/>
      </w:rPr>
      <w:t xml:space="preserve"> </w:t>
    </w:r>
    <w:proofErr w:type="spellStart"/>
    <w:r w:rsidRPr="00B55CCA">
      <w:rPr>
        <w:i/>
        <w:color w:val="D9D9D9" w:themeColor="background1" w:themeShade="D9"/>
        <w:lang w:val="en-US"/>
      </w:rPr>
      <w:t>Европа</w:t>
    </w:r>
    <w:proofErr w:type="spellEnd"/>
    <w:r w:rsidRPr="00B55CCA">
      <w:rPr>
        <w:i/>
        <w:color w:val="D9D9D9" w:themeColor="background1" w:themeShade="D9"/>
        <w:lang w:val="en-US"/>
      </w:rPr>
      <w:t>/</w:t>
    </w:r>
    <w:proofErr w:type="spellStart"/>
    <w:r w:rsidRPr="00B55CCA">
      <w:rPr>
        <w:i/>
        <w:color w:val="D9D9D9" w:themeColor="background1" w:themeShade="D9"/>
        <w:lang w:val="en-US"/>
      </w:rPr>
      <w:t>Радио</w:t>
    </w:r>
    <w:proofErr w:type="spellEnd"/>
    <w:r w:rsidRPr="00B55CCA">
      <w:rPr>
        <w:i/>
        <w:color w:val="D9D9D9" w:themeColor="background1" w:themeShade="D9"/>
        <w:lang w:val="en-US"/>
      </w:rPr>
      <w:t xml:space="preserve"> </w:t>
    </w:r>
    <w:proofErr w:type="spellStart"/>
    <w:r w:rsidRPr="00B55CCA">
      <w:rPr>
        <w:i/>
        <w:color w:val="D9D9D9" w:themeColor="background1" w:themeShade="D9"/>
        <w:lang w:val="en-US"/>
      </w:rPr>
      <w:t>Свобода</w:t>
    </w:r>
    <w:proofErr w:type="spellEnd"/>
    <w:r w:rsidRPr="00B55CCA">
      <w:rPr>
        <w:i/>
        <w:color w:val="D9D9D9" w:themeColor="background1" w:themeShade="D9"/>
        <w:lang w:val="en-US"/>
      </w:rPr>
      <w:t xml:space="preserve"> © 2019 RFE/RL, Inc. </w:t>
    </w:r>
    <w:proofErr w:type="spellStart"/>
    <w:r w:rsidRPr="00B55CCA">
      <w:rPr>
        <w:i/>
        <w:color w:val="D9D9D9" w:themeColor="background1" w:themeShade="D9"/>
        <w:lang w:val="en-US"/>
      </w:rPr>
      <w:t>Всички</w:t>
    </w:r>
    <w:proofErr w:type="spellEnd"/>
    <w:r w:rsidRPr="00B55CCA">
      <w:rPr>
        <w:i/>
        <w:color w:val="D9D9D9" w:themeColor="background1" w:themeShade="D9"/>
        <w:lang w:val="en-US"/>
      </w:rPr>
      <w:t xml:space="preserve"> </w:t>
    </w:r>
    <w:proofErr w:type="spellStart"/>
    <w:r w:rsidRPr="00B55CCA">
      <w:rPr>
        <w:i/>
        <w:color w:val="D9D9D9" w:themeColor="background1" w:themeShade="D9"/>
        <w:lang w:val="en-US"/>
      </w:rPr>
      <w:t>права</w:t>
    </w:r>
    <w:proofErr w:type="spellEnd"/>
    <w:r w:rsidRPr="00B55CCA">
      <w:rPr>
        <w:i/>
        <w:color w:val="D9D9D9" w:themeColor="background1" w:themeShade="D9"/>
        <w:lang w:val="en-US"/>
      </w:rPr>
      <w:t xml:space="preserve"> </w:t>
    </w:r>
    <w:proofErr w:type="spellStart"/>
    <w:r w:rsidRPr="00B55CCA">
      <w:rPr>
        <w:i/>
        <w:color w:val="D9D9D9" w:themeColor="background1" w:themeShade="D9"/>
        <w:lang w:val="en-US"/>
      </w:rPr>
      <w:t>запазени</w:t>
    </w:r>
    <w:proofErr w:type="spellEnd"/>
    <w:r w:rsidRPr="00B55CCA">
      <w:rPr>
        <w:i/>
        <w:color w:val="D9D9D9" w:themeColor="background1" w:themeShade="D9"/>
        <w:lang w:val="en-US"/>
      </w:rPr>
      <w:t>.</w:t>
    </w:r>
  </w:p>
  <w:p w:rsidR="00DD31AB" w:rsidRDefault="00DD3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AB" w:rsidRDefault="00DD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767" w:rsidRDefault="00347767" w:rsidP="002E4815">
      <w:pPr>
        <w:spacing w:after="0" w:line="240" w:lineRule="auto"/>
      </w:pPr>
      <w:r>
        <w:separator/>
      </w:r>
    </w:p>
  </w:footnote>
  <w:footnote w:type="continuationSeparator" w:id="0">
    <w:p w:rsidR="00347767" w:rsidRDefault="00347767" w:rsidP="002E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AB" w:rsidRDefault="00943F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593829" o:spid="_x0000_s2054" type="#_x0000_t75" style="position:absolute;margin-left:0;margin-top:0;width:453.55pt;height:605.85pt;z-index:-251657216;mso-position-horizontal:center;mso-position-horizontal-relative:margin;mso-position-vertical:center;mso-position-vertical-relative:margin" o:allowincell="f">
          <v:imagedata r:id="rId1" o:title="supergraphic_primary_left_RGB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B7B" w:rsidRDefault="00943F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593830" o:spid="_x0000_s2055" type="#_x0000_t75" style="position:absolute;margin-left:0;margin-top:0;width:453.55pt;height:605.85pt;z-index:-251656192;mso-position-horizontal:center;mso-position-horizontal-relative:margin;mso-position-vertical:center;mso-position-vertical-relative:margin" o:allowincell="f">
          <v:imagedata r:id="rId1" o:title="supergraphic_primary_left_RGB-3"/>
          <w10:wrap anchorx="margin" anchory="margin"/>
        </v:shape>
      </w:pict>
    </w:r>
    <w:r w:rsidR="00A12B7B">
      <w:rPr>
        <w:noProof/>
        <w:lang w:val="en-US"/>
      </w:rPr>
      <w:drawing>
        <wp:inline distT="0" distB="0" distL="0" distR="0" wp14:anchorId="3A2E4EAA" wp14:editId="1D8C9D03">
          <wp:extent cx="1981302" cy="9906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ia_compact-brandma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302" cy="990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B7B" w:rsidRDefault="00A12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AB" w:rsidRDefault="00943F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593828" o:spid="_x0000_s2053" type="#_x0000_t75" style="position:absolute;margin-left:0;margin-top:0;width:453.55pt;height:605.85pt;z-index:-251658240;mso-position-horizontal:center;mso-position-horizontal-relative:margin;mso-position-vertical:center;mso-position-vertical-relative:margin" o:allowincell="f">
          <v:imagedata r:id="rId1" o:title="supergraphic_primary_left_RGB-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F7"/>
    <w:rsid w:val="00015EAB"/>
    <w:rsid w:val="000174BC"/>
    <w:rsid w:val="00020686"/>
    <w:rsid w:val="00034FEA"/>
    <w:rsid w:val="00043F4A"/>
    <w:rsid w:val="00045EB9"/>
    <w:rsid w:val="000715A7"/>
    <w:rsid w:val="000765E6"/>
    <w:rsid w:val="00095B46"/>
    <w:rsid w:val="00095E7C"/>
    <w:rsid w:val="000A1D3F"/>
    <w:rsid w:val="000C005F"/>
    <w:rsid w:val="000C4550"/>
    <w:rsid w:val="000E697C"/>
    <w:rsid w:val="001223A7"/>
    <w:rsid w:val="00151652"/>
    <w:rsid w:val="001808B6"/>
    <w:rsid w:val="00184573"/>
    <w:rsid w:val="0018676A"/>
    <w:rsid w:val="001E0717"/>
    <w:rsid w:val="001F1ED7"/>
    <w:rsid w:val="00210A17"/>
    <w:rsid w:val="00226CB6"/>
    <w:rsid w:val="002647AA"/>
    <w:rsid w:val="002664F7"/>
    <w:rsid w:val="00284980"/>
    <w:rsid w:val="00292048"/>
    <w:rsid w:val="002B604F"/>
    <w:rsid w:val="002B7CC4"/>
    <w:rsid w:val="002E4815"/>
    <w:rsid w:val="002F27B8"/>
    <w:rsid w:val="00332AA2"/>
    <w:rsid w:val="00336F75"/>
    <w:rsid w:val="003372F2"/>
    <w:rsid w:val="00347767"/>
    <w:rsid w:val="00362208"/>
    <w:rsid w:val="00373E41"/>
    <w:rsid w:val="003968A3"/>
    <w:rsid w:val="003B04A3"/>
    <w:rsid w:val="003C21DB"/>
    <w:rsid w:val="003D399F"/>
    <w:rsid w:val="003E1BDE"/>
    <w:rsid w:val="003E277C"/>
    <w:rsid w:val="003F3D9F"/>
    <w:rsid w:val="00413784"/>
    <w:rsid w:val="00416E89"/>
    <w:rsid w:val="004421F7"/>
    <w:rsid w:val="00442C26"/>
    <w:rsid w:val="00443F73"/>
    <w:rsid w:val="00473DD6"/>
    <w:rsid w:val="004C62A4"/>
    <w:rsid w:val="004C6EF7"/>
    <w:rsid w:val="005051CA"/>
    <w:rsid w:val="00512DCB"/>
    <w:rsid w:val="00515E14"/>
    <w:rsid w:val="00520C6B"/>
    <w:rsid w:val="00581A91"/>
    <w:rsid w:val="005A1C89"/>
    <w:rsid w:val="005A26AD"/>
    <w:rsid w:val="005C055F"/>
    <w:rsid w:val="005E37DE"/>
    <w:rsid w:val="005E7F15"/>
    <w:rsid w:val="00674E66"/>
    <w:rsid w:val="006A58F5"/>
    <w:rsid w:val="006B1D9F"/>
    <w:rsid w:val="006B6294"/>
    <w:rsid w:val="006D3C54"/>
    <w:rsid w:val="006F100F"/>
    <w:rsid w:val="0070360B"/>
    <w:rsid w:val="00713D7C"/>
    <w:rsid w:val="00721AC2"/>
    <w:rsid w:val="0073323C"/>
    <w:rsid w:val="0073351C"/>
    <w:rsid w:val="00747149"/>
    <w:rsid w:val="00752304"/>
    <w:rsid w:val="00753059"/>
    <w:rsid w:val="0076304D"/>
    <w:rsid w:val="00773DE6"/>
    <w:rsid w:val="00774FDE"/>
    <w:rsid w:val="00777010"/>
    <w:rsid w:val="007A775D"/>
    <w:rsid w:val="007B3F22"/>
    <w:rsid w:val="007B5AC6"/>
    <w:rsid w:val="007C1561"/>
    <w:rsid w:val="007C4F43"/>
    <w:rsid w:val="007C5848"/>
    <w:rsid w:val="007D30B8"/>
    <w:rsid w:val="007F286E"/>
    <w:rsid w:val="007F60CA"/>
    <w:rsid w:val="00812DEC"/>
    <w:rsid w:val="00813090"/>
    <w:rsid w:val="00891F31"/>
    <w:rsid w:val="008A6EDD"/>
    <w:rsid w:val="008B0969"/>
    <w:rsid w:val="008B6F0E"/>
    <w:rsid w:val="008C6147"/>
    <w:rsid w:val="008D2624"/>
    <w:rsid w:val="008E741A"/>
    <w:rsid w:val="008F13EB"/>
    <w:rsid w:val="00912249"/>
    <w:rsid w:val="00914DB0"/>
    <w:rsid w:val="00925954"/>
    <w:rsid w:val="00943FEE"/>
    <w:rsid w:val="009462F6"/>
    <w:rsid w:val="00984286"/>
    <w:rsid w:val="009B3A66"/>
    <w:rsid w:val="009E4225"/>
    <w:rsid w:val="009E5C1A"/>
    <w:rsid w:val="009F2458"/>
    <w:rsid w:val="00A12B7B"/>
    <w:rsid w:val="00A375DA"/>
    <w:rsid w:val="00A401D7"/>
    <w:rsid w:val="00A47A1E"/>
    <w:rsid w:val="00A61D16"/>
    <w:rsid w:val="00A92B49"/>
    <w:rsid w:val="00A94B4E"/>
    <w:rsid w:val="00AB16AB"/>
    <w:rsid w:val="00AB6893"/>
    <w:rsid w:val="00AC5228"/>
    <w:rsid w:val="00AF4E54"/>
    <w:rsid w:val="00B0737D"/>
    <w:rsid w:val="00B12A17"/>
    <w:rsid w:val="00B2231A"/>
    <w:rsid w:val="00B2517C"/>
    <w:rsid w:val="00B31980"/>
    <w:rsid w:val="00B53F35"/>
    <w:rsid w:val="00B55CCA"/>
    <w:rsid w:val="00B60A22"/>
    <w:rsid w:val="00B73716"/>
    <w:rsid w:val="00B855E6"/>
    <w:rsid w:val="00B87B71"/>
    <w:rsid w:val="00B95826"/>
    <w:rsid w:val="00B97267"/>
    <w:rsid w:val="00BA16E6"/>
    <w:rsid w:val="00BB2218"/>
    <w:rsid w:val="00BB61E2"/>
    <w:rsid w:val="00BB6A3D"/>
    <w:rsid w:val="00BB7D88"/>
    <w:rsid w:val="00BC757C"/>
    <w:rsid w:val="00BC78AA"/>
    <w:rsid w:val="00BD30D9"/>
    <w:rsid w:val="00BE14C6"/>
    <w:rsid w:val="00BE5625"/>
    <w:rsid w:val="00BF4696"/>
    <w:rsid w:val="00C01961"/>
    <w:rsid w:val="00C07A9E"/>
    <w:rsid w:val="00C11C46"/>
    <w:rsid w:val="00C11E3C"/>
    <w:rsid w:val="00C15CD8"/>
    <w:rsid w:val="00C1680B"/>
    <w:rsid w:val="00C56BAB"/>
    <w:rsid w:val="00CA21D7"/>
    <w:rsid w:val="00CC0ABF"/>
    <w:rsid w:val="00CD488E"/>
    <w:rsid w:val="00CD5FE5"/>
    <w:rsid w:val="00CE3E1C"/>
    <w:rsid w:val="00CE791F"/>
    <w:rsid w:val="00D119BB"/>
    <w:rsid w:val="00D16F15"/>
    <w:rsid w:val="00D25A25"/>
    <w:rsid w:val="00D81D94"/>
    <w:rsid w:val="00DC04EE"/>
    <w:rsid w:val="00DC1F56"/>
    <w:rsid w:val="00DD31AB"/>
    <w:rsid w:val="00DE47D8"/>
    <w:rsid w:val="00DF2F7B"/>
    <w:rsid w:val="00DF405E"/>
    <w:rsid w:val="00E3007C"/>
    <w:rsid w:val="00E30C6F"/>
    <w:rsid w:val="00E3707E"/>
    <w:rsid w:val="00E54A68"/>
    <w:rsid w:val="00E5778B"/>
    <w:rsid w:val="00E65DA3"/>
    <w:rsid w:val="00E8412F"/>
    <w:rsid w:val="00EB03B3"/>
    <w:rsid w:val="00EB16EC"/>
    <w:rsid w:val="00EB32DC"/>
    <w:rsid w:val="00ED0290"/>
    <w:rsid w:val="00EE2F41"/>
    <w:rsid w:val="00F23554"/>
    <w:rsid w:val="00F27534"/>
    <w:rsid w:val="00F412DA"/>
    <w:rsid w:val="00F56C67"/>
    <w:rsid w:val="00F74870"/>
    <w:rsid w:val="00F82830"/>
    <w:rsid w:val="00F83458"/>
    <w:rsid w:val="00F85A4C"/>
    <w:rsid w:val="00F864A0"/>
    <w:rsid w:val="00F90422"/>
    <w:rsid w:val="00FB774B"/>
    <w:rsid w:val="00FD2855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AC4C02D"/>
  <w15:docId w15:val="{DBAEA07A-2679-4454-BC8D-4956C4BD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1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15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2E4815"/>
  </w:style>
  <w:style w:type="paragraph" w:styleId="Header">
    <w:name w:val="header"/>
    <w:basedOn w:val="Normal"/>
    <w:link w:val="HeaderChar"/>
    <w:uiPriority w:val="99"/>
    <w:unhideWhenUsed/>
    <w:rsid w:val="002E481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2E4815"/>
  </w:style>
  <w:style w:type="paragraph" w:styleId="Footer">
    <w:name w:val="footer"/>
    <w:basedOn w:val="Normal"/>
    <w:link w:val="FooterChar"/>
    <w:uiPriority w:val="99"/>
    <w:unhideWhenUsed/>
    <w:rsid w:val="002E481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81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E4815"/>
    <w:pPr>
      <w:spacing w:after="0" w:line="240" w:lineRule="auto"/>
    </w:pPr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E48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48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unselectable">
    <w:name w:val="unselectable"/>
    <w:basedOn w:val="DefaultParagraphFont"/>
    <w:rsid w:val="0076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89B0-999C-4E2C-BC31-96E7E977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2706</Words>
  <Characters>14914</Characters>
  <Application>Microsoft Office Word</Application>
  <DocSecurity>0</DocSecurity>
  <Lines>248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Vaksberg Tatiana</cp:lastModifiedBy>
  <cp:revision>47</cp:revision>
  <cp:lastPrinted>2019-06-06T19:46:00Z</cp:lastPrinted>
  <dcterms:created xsi:type="dcterms:W3CDTF">2019-06-04T10:30:00Z</dcterms:created>
  <dcterms:modified xsi:type="dcterms:W3CDTF">2019-11-25T20:04:00Z</dcterms:modified>
</cp:coreProperties>
</file>