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6" w:rsidRPr="006423C6" w:rsidRDefault="00803806" w:rsidP="006423C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РЕЗОЛЮЦИЯ ПО ИТОГАМ КРУГЛОГО СТОЛА по обсуждению законопроекта </w:t>
      </w:r>
      <w:proofErr w:type="gramStart"/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</w:rPr>
        <w:t>КР</w:t>
      </w:r>
      <w:proofErr w:type="gramEnd"/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«О внесении изменений в Закон</w:t>
      </w:r>
      <w:r w:rsidR="006423C6" w:rsidRPr="006423C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</w:rPr>
        <w:t>Кыргызской</w:t>
      </w:r>
      <w:proofErr w:type="spellEnd"/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Республики «О</w:t>
      </w:r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средствах массовой информации»</w:t>
      </w:r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6423C6" w:rsidRDefault="006423C6" w:rsidP="006423C6">
      <w:pPr>
        <w:jc w:val="center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bookmarkStart w:id="0" w:name="_GoBack"/>
      <w:bookmarkEnd w:id="0"/>
    </w:p>
    <w:p w:rsidR="00803806" w:rsidRPr="006423C6" w:rsidRDefault="00803806" w:rsidP="006423C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</w:rPr>
        <w:t>г</w:t>
      </w:r>
      <w:proofErr w:type="gramStart"/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</w:rPr>
        <w:t>.Б</w:t>
      </w:r>
      <w:proofErr w:type="gramEnd"/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</w:rPr>
        <w:t>ишкек</w:t>
      </w:r>
      <w:proofErr w:type="spellEnd"/>
      <w:r w:rsidRPr="006423C6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21 июня 2016 г.</w:t>
      </w:r>
    </w:p>
    <w:p w:rsid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21 июня 2016 года в г. Бишкек прошел круглый стол, посвященный обсуждению законопроекта «О внесении изменений в Закон </w:t>
      </w:r>
      <w:proofErr w:type="spell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Кыргызской</w:t>
      </w:r>
      <w:proofErr w:type="spell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Республики «О средствах массовой информации». Круглый стол состоялся при участии представителей </w:t>
      </w:r>
      <w:proofErr w:type="spell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Жогорку</w:t>
      </w:r>
      <w:proofErr w:type="spell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Кенеша</w:t>
      </w:r>
      <w:proofErr w:type="spell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КР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, медиа организаций, средств массовой информации, информационных агентств и гражданского общества.</w:t>
      </w: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Необходимость проведения данного мероприятия вызвана предлагаемыми изменениями в закон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КР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«О средствах массовой информации», которые не отвечают целям, заявленным инициаторами проекта. При подготовке данных поправок не были проведены исследовательские мероприятия о целесообразности и необходимости таких поправок и, соответственно, в справке-обосновании отсутствуют статистические данные, которые бы подтверждали исходящую от местных СМИ с иностранным участием реальную угрозу для национальной безопасности страны. Считаем, что инициируемые законопроекты в сфере медиа, должны учитывать внутриполитические процессы исходя из реальных потребностей общества, а также основываться на принципах и положениях выработанной Национальной стратегией устойчивого развития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КР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на пе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риод 2013-2017 годы и Концепции</w:t>
      </w:r>
      <w: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информационной</w:t>
      </w:r>
      <w: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политики КР.</w:t>
      </w:r>
    </w:p>
    <w:p w:rsid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Принимая важность конституционной гарантии на свободу слова и доступ к информации, участники круглого стола при обсуждении предлагаемых изменений обращают внимание на отрицательные моменты:</w:t>
      </w: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1)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ab/>
        <w:t>Позиция инициаторов «защитить суверенитет и безопасность государства», через попытку закрыть внутренний информационный рынок для «учредителей иностранного происхождения» является устаревшей. Ограничительные нормы для СМИ в некоторых странах Европы и США были внедрены еще в начале 20-го века в условиях аналогового вещания, параллельно с этим принимались различные программы, направленные на развитие местных медиа компаний. Однако с 90-х годов с развитием информационных технологий государственная политика этих стран пошла на смягчение существующих ограничений для привлечения иностранного инвестирования в медиа сферу. В справке-обосновании авторы законопроекта говорят о возможности ограничения законами права искать и распространять информацию в целях обеспечения суверенитета и безопасности государства, прав и свобод других граждан, нравственности населения. Однако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далее по тексту не дается обоснование, какие конкретно нормы из законопроекта способствуют обеспечению суверенитета, безопасности государства и других охраняемых ценностей. Не даны аргументы, в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связи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с чем авторы считают, что именно СМИ, учрежденные юридическими лицами с иностранным участием, угрожают суверенитету, безопасности и другим охраняемым ценностям? Имеются ли реально такие угрозы или прецеденты? По тексту справки-обоснования автор указывает, в частности, что предлагается &lt;</w:t>
      </w:r>
      <w:proofErr w:type="spell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смаксимально</w:t>
      </w:r>
      <w:proofErr w:type="spell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сузить круг лиц, имеющих право учреждать СМИ на территории </w:t>
      </w:r>
      <w:proofErr w:type="spell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Кыргызской</w:t>
      </w:r>
      <w:proofErr w:type="spell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Республики», указанное можно расценивать как попытку ограничить право на свободу слова и печати, гарантированные Конституцией КР.</w:t>
      </w: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2)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Принимая во внимание, что большинство СМИ создано в форме предприятий, то попытки инициаторов ограничить «иностранное участие» физических и юридических лиц в создании СМИ и долю иностранного финансирования СМИ противоречат положениям законов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КР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«О защите прав предпринимателей» и «Об инвестициях в </w:t>
      </w:r>
      <w:proofErr w:type="spell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Кыргызской</w:t>
      </w:r>
      <w:proofErr w:type="spell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Республике».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В соответствии с нормами данных законов, государство гарантирует предпринимателям вне зависимости от формы собственности равные права и возможности доступа к финансовым ресурсам и предоставление справедливого, равного правового режима любому инвестору и способствует созданию условий для зашиты привлечённых инвестиций и развития конкуренции.</w:t>
      </w:r>
      <w:proofErr w:type="gramEnd"/>
    </w:p>
    <w:p w:rsid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3)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В соответствии со ст. 19 Закона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КР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«О нормативных правовых актах», проекты нормативных правовых актов, направленные на регулирование предпринимательской деятельности. подлежат анализу регулятивного воздействия в соответствии с методикой, утвержденной Правительством. Анализ регулятивного воздействия осуществляется и обеспечивается разработчиком нормативного правового акта. Проект нормативного правового акта подлежит отклонению в случае непредставления разработчиком обоснования, подготовленного на основе анализа регулятивного воздействия. Как видно из справки-обоснования, законопроект якобы «не подлежит анализу регулятивного воздействия, так как он не направлен на регулирование предпринимательской деятельности». Однако из положений законопроекта вытекает обязанность 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для коммерческих юридических лиц (основной деятельностью которых является извлечение прибыли и осуществление предпринимательской деятельности) </w:t>
      </w:r>
      <w: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собственников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СМИ, произвести в принудительном порядке отчуждение принадлежащих им СМИ либо произвести перераспределение долей (акций) в уставных капиталах. Таким образом, законопроект напрямую затрагивает деятельность конкретно коммерческих юридических лиц, лишая, по сути, в некоторых случаях права на осуществление основного вида предпринимательской деятельности - выпуск и реализация продукции СМИ, в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связи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с чем проведение АРВ является обязательным для данного законопроекта.</w:t>
      </w:r>
    </w:p>
    <w:p w:rsid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4)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Согласно 4.1 ст. 20. Закона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КР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«О нормативных правовых актах», проекты нормативных правовых актов по вопросам обеспечения конституционных прав, свобод и обязанностей граждан; правового статуса общественных объединений, средств массовой информации; государственного бюджета, налоговой системы; экологической безопасности; борьбы с правонарушениями; введения новых видов государственного регулирования предпринимательской деятельности должны подлежать правовой, правозащитной, тендерной, экологической, антикоррупционной и иной научной экспертизе (в зависимости от правоотношений, на регулирование которых направлен проект нормативного правового акта). Как видно, разработчиками законопроекта не было обеспечено проведение соответствующих экспертиз, что является грубым нарушением Закона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КР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«О нормативных правовых актах»</w:t>
      </w:r>
    </w:p>
    <w:p w:rsid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6423C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Отмечая, что в условиях отсутствия границ в информационном пространстве и свободного распространения информации (спутниковое</w:t>
      </w:r>
      <w:r w:rsidR="006423C6">
        <w:rPr>
          <w:rFonts w:ascii="Times New Roman" w:eastAsia="Times New Roman" w:hAnsi="Times New Roman" w:cs="Times New Roman"/>
          <w:bCs/>
          <w:sz w:val="22"/>
          <w:szCs w:val="22"/>
        </w:rPr>
        <w:t>, кабельное, цифровое, интернет</w:t>
      </w:r>
      <w:r w:rsidR="006423C6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телевидение и др.), 01 </w:t>
      </w:r>
      <w:r w:rsidR="006423C6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ограничения 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по праву учредительства и финансирования СМИ не могут стать эффективным инструментом в защите национальной информационной безопасности </w:t>
      </w:r>
      <w:proofErr w:type="spell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Кыргызской</w:t>
      </w:r>
      <w:proofErr w:type="spell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Республики. </w:t>
      </w:r>
    </w:p>
    <w:p w:rsidR="006423C6" w:rsidRDefault="006423C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На основании изложенного обращаемся к депутатам </w:t>
      </w:r>
      <w:proofErr w:type="spell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Жогорку</w:t>
      </w:r>
      <w:proofErr w:type="spell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Кенеша</w:t>
      </w:r>
      <w:proofErr w:type="spell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КР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:</w:t>
      </w:r>
    </w:p>
    <w:p w:rsidR="006423C6" w:rsidRDefault="006423C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-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отклонить проект Закона «О внесении изменений в Закон </w:t>
      </w:r>
      <w:proofErr w:type="spell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Кыргызской</w:t>
      </w:r>
      <w:proofErr w:type="spell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Республики «О средствах массовой информации»;</w:t>
      </w:r>
    </w:p>
    <w:p w:rsidR="006423C6" w:rsidRDefault="006423C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-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принять меры к реализации «Национальной стратегии устойчивого развития </w:t>
      </w:r>
      <w:proofErr w:type="gramStart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КР</w:t>
      </w:r>
      <w:proofErr w:type="gramEnd"/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 xml:space="preserve"> на период 2013-2017 годы», где отмечена важность формирования государственной информационной политики, призванной обеспечить конституционное право граждан на доступ к информации и способствовать процессу вхождения страны в глобальное информационное пространство;</w:t>
      </w:r>
    </w:p>
    <w:p w:rsidR="006423C6" w:rsidRDefault="006423C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-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ab/>
        <w:t>не инициировать поправки в медиа законодательство до разработки Концепции информационной политики, в которой будут отражены основные направления развития национального информационного пространства с учетом принципов свободы слова и соблюдения требований информационной безопасности;</w:t>
      </w:r>
    </w:p>
    <w:p w:rsidR="006423C6" w:rsidRDefault="006423C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-</w:t>
      </w: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ab/>
        <w:t>разрабатывать мероприятия направленные на развитие медиа грамотности среди населения и поддержку производства качественного национального информационного продукта.</w:t>
      </w:r>
    </w:p>
    <w:p w:rsid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803806" w:rsidRPr="00803806" w:rsidRDefault="00803806" w:rsidP="00803806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03806">
        <w:rPr>
          <w:rFonts w:ascii="Times New Roman" w:eastAsia="Times New Roman" w:hAnsi="Times New Roman" w:cs="Times New Roman"/>
          <w:bCs/>
          <w:sz w:val="22"/>
          <w:szCs w:val="22"/>
        </w:rPr>
        <w:t>Участники круглого стола выражают уверенность, что не ограничение, а развитие и доступ к информации должны стать приоритетными направлениями государственной информационной политики.</w:t>
      </w:r>
    </w:p>
    <w:p w:rsidR="00803806" w:rsidRPr="00803806" w:rsidRDefault="00803806" w:rsidP="00803806"/>
    <w:sectPr w:rsidR="00803806" w:rsidRPr="00803806">
      <w:type w:val="continuous"/>
      <w:pgSz w:w="11905" w:h="16837"/>
      <w:pgMar w:top="623" w:right="346" w:bottom="719" w:left="2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23C6">
      <w:r>
        <w:separator/>
      </w:r>
    </w:p>
  </w:endnote>
  <w:endnote w:type="continuationSeparator" w:id="0">
    <w:p w:rsidR="00000000" w:rsidRDefault="0064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8E" w:rsidRDefault="00891A8E"/>
  </w:footnote>
  <w:footnote w:type="continuationSeparator" w:id="0">
    <w:p w:rsidR="00891A8E" w:rsidRDefault="00891A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B1D"/>
    <w:multiLevelType w:val="multilevel"/>
    <w:tmpl w:val="00DA06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E6EDD"/>
    <w:multiLevelType w:val="multilevel"/>
    <w:tmpl w:val="CB24CAB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0E3DB1"/>
    <w:multiLevelType w:val="hybridMultilevel"/>
    <w:tmpl w:val="61823358"/>
    <w:lvl w:ilvl="0" w:tplc="BA82BA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1A8E"/>
    <w:rsid w:val="006423C6"/>
    <w:rsid w:val="00803806"/>
    <w:rsid w:val="008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сновной текст + Полужирный;Курсив"/>
    <w:basedOn w:val="a4"/>
    <w:rsid w:val="0080380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Bolot Kolbaev</cp:lastModifiedBy>
  <cp:revision>2</cp:revision>
  <dcterms:created xsi:type="dcterms:W3CDTF">2016-06-21T07:26:00Z</dcterms:created>
  <dcterms:modified xsi:type="dcterms:W3CDTF">2016-06-21T07:38:00Z</dcterms:modified>
</cp:coreProperties>
</file>